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785" w:rsidRPr="00550CBF" w:rsidRDefault="00E80785" w:rsidP="00550CBF">
      <w:pPr>
        <w:pStyle w:val="ConsPlusNormal"/>
        <w:outlineLvl w:val="0"/>
      </w:pPr>
    </w:p>
    <w:p w:rsidR="00E80785" w:rsidRPr="00550CBF" w:rsidRDefault="00E80785" w:rsidP="00550CBF">
      <w:pPr>
        <w:pStyle w:val="ConsPlusTitle"/>
        <w:jc w:val="center"/>
        <w:outlineLvl w:val="0"/>
      </w:pPr>
      <w:r w:rsidRPr="00550CBF">
        <w:t>ДУМА ГОРОДСКОГО ОКРУГА СУХОЙ ЛОГ</w:t>
      </w:r>
    </w:p>
    <w:p w:rsidR="00E80785" w:rsidRPr="00550CBF" w:rsidRDefault="00E80785" w:rsidP="00550CBF">
      <w:pPr>
        <w:pStyle w:val="ConsPlusTitle"/>
        <w:jc w:val="center"/>
      </w:pPr>
      <w:r w:rsidRPr="00550CBF">
        <w:t>ЧЕТВЕРТЫЙ СОЗЫВ</w:t>
      </w:r>
    </w:p>
    <w:p w:rsidR="00E80785" w:rsidRPr="00550CBF" w:rsidRDefault="00E80785" w:rsidP="00550CBF">
      <w:pPr>
        <w:pStyle w:val="ConsPlusTitle"/>
        <w:jc w:val="center"/>
      </w:pPr>
      <w:r w:rsidRPr="00550CBF">
        <w:t>Тридцать шестое заседание</w:t>
      </w:r>
    </w:p>
    <w:p w:rsidR="00E80785" w:rsidRPr="00550CBF" w:rsidRDefault="00E80785" w:rsidP="00550CBF">
      <w:pPr>
        <w:pStyle w:val="ConsPlusTitle"/>
        <w:jc w:val="center"/>
      </w:pPr>
    </w:p>
    <w:p w:rsidR="00E80785" w:rsidRPr="00550CBF" w:rsidRDefault="00E80785" w:rsidP="00550CBF">
      <w:pPr>
        <w:pStyle w:val="ConsPlusTitle"/>
        <w:jc w:val="center"/>
      </w:pPr>
      <w:r w:rsidRPr="00550CBF">
        <w:t>РЕШЕНИЕ</w:t>
      </w:r>
    </w:p>
    <w:p w:rsidR="00E80785" w:rsidRPr="00550CBF" w:rsidRDefault="00E80785" w:rsidP="00550CBF">
      <w:pPr>
        <w:pStyle w:val="ConsPlusTitle"/>
        <w:jc w:val="center"/>
      </w:pPr>
      <w:r w:rsidRPr="00550CBF">
        <w:t>от 24 февраля 2011 г. N 356-РД</w:t>
      </w:r>
    </w:p>
    <w:p w:rsidR="00E80785" w:rsidRPr="00550CBF" w:rsidRDefault="00E80785" w:rsidP="00550CBF">
      <w:pPr>
        <w:pStyle w:val="ConsPlusTitle"/>
        <w:jc w:val="center"/>
      </w:pPr>
    </w:p>
    <w:p w:rsidR="00E80785" w:rsidRPr="00550CBF" w:rsidRDefault="00E80785" w:rsidP="00550CBF">
      <w:pPr>
        <w:pStyle w:val="ConsPlusTitle"/>
        <w:jc w:val="center"/>
      </w:pPr>
      <w:r w:rsidRPr="00550CBF">
        <w:t>ОБ УТВЕРЖДЕНИИ ПОРЯДКА ПРОВЕДЕНИЯ ВНЕШНЕЙ ПРОВЕРКИ ГОДОВОГО</w:t>
      </w:r>
    </w:p>
    <w:p w:rsidR="00E80785" w:rsidRPr="00550CBF" w:rsidRDefault="00E80785" w:rsidP="00550CBF">
      <w:pPr>
        <w:pStyle w:val="ConsPlusTitle"/>
        <w:jc w:val="center"/>
      </w:pPr>
      <w:r w:rsidRPr="00550CBF">
        <w:t>ОТЧЕТА ОБ ИСПОЛНЕНИИ БЮДЖЕТА ГОРОДСКОГО ОКРУГА СУХОЙ ЛОГ</w:t>
      </w:r>
    </w:p>
    <w:p w:rsidR="00E80785" w:rsidRPr="00550CBF" w:rsidRDefault="00E80785" w:rsidP="00550CBF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50CBF" w:rsidRPr="00550C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0785" w:rsidRPr="00550CBF" w:rsidRDefault="00E80785" w:rsidP="00550CBF">
            <w:pPr>
              <w:pStyle w:val="ConsPlusNormal"/>
              <w:jc w:val="center"/>
            </w:pPr>
            <w:r w:rsidRPr="00550CBF">
              <w:t xml:space="preserve">(в ред. </w:t>
            </w:r>
            <w:hyperlink r:id="rId4" w:history="1">
              <w:r w:rsidRPr="00550CBF">
                <w:t>Решения</w:t>
              </w:r>
            </w:hyperlink>
            <w:r w:rsidRPr="00550CBF">
              <w:t xml:space="preserve"> Думы городского округа Сухой Лог</w:t>
            </w:r>
            <w:r w:rsidR="00550CBF" w:rsidRPr="00550CBF">
              <w:t xml:space="preserve"> </w:t>
            </w:r>
            <w:r w:rsidRPr="00550CBF">
              <w:t>от 27.02.2014 N 216-РД)</w:t>
            </w:r>
          </w:p>
        </w:tc>
      </w:tr>
    </w:tbl>
    <w:p w:rsidR="00E80785" w:rsidRPr="00550CBF" w:rsidRDefault="00E80785" w:rsidP="00550CBF">
      <w:pPr>
        <w:pStyle w:val="ConsPlusNormal"/>
        <w:jc w:val="center"/>
      </w:pP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В соответствии с требованиями </w:t>
      </w:r>
      <w:hyperlink r:id="rId5" w:history="1">
        <w:r w:rsidRPr="00550CBF">
          <w:t>статьи 264.4</w:t>
        </w:r>
      </w:hyperlink>
      <w:r w:rsidRPr="00550CBF">
        <w:t xml:space="preserve"> Бюджетного кодекса Российской Федерации, Дума городского округа решила: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1. Утвердить, </w:t>
      </w:r>
      <w:hyperlink w:anchor="P33" w:history="1">
        <w:r w:rsidRPr="00550CBF">
          <w:t>Порядок</w:t>
        </w:r>
      </w:hyperlink>
      <w:r w:rsidRPr="00550CBF">
        <w:t xml:space="preserve"> проведения внешней проверки годового отчета об исполнении бюджета городского округа Сухой Лог (прилагается).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2. Опубликовать настоящее Решение в газете "Знамя Победы".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3. Контроль исполнения настоящего Решения возложить на постоянную комиссию по экономической политике, бюджету, финансам и налогам (</w:t>
      </w:r>
      <w:proofErr w:type="spellStart"/>
      <w:r w:rsidRPr="00550CBF">
        <w:t>А.А</w:t>
      </w:r>
      <w:proofErr w:type="spellEnd"/>
      <w:r w:rsidRPr="00550CBF">
        <w:t xml:space="preserve">. </w:t>
      </w:r>
      <w:proofErr w:type="spellStart"/>
      <w:r w:rsidRPr="00550CBF">
        <w:t>Терин</w:t>
      </w:r>
      <w:proofErr w:type="spellEnd"/>
      <w:r w:rsidRPr="00550CBF">
        <w:t>).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jc w:val="right"/>
      </w:pPr>
      <w:r w:rsidRPr="00550CBF">
        <w:t>Председатель Думы</w:t>
      </w:r>
    </w:p>
    <w:p w:rsidR="00E80785" w:rsidRPr="00550CBF" w:rsidRDefault="00E80785" w:rsidP="00550CBF">
      <w:pPr>
        <w:pStyle w:val="ConsPlusNormal"/>
        <w:jc w:val="right"/>
      </w:pPr>
      <w:r w:rsidRPr="00550CBF">
        <w:t>городского округа</w:t>
      </w:r>
    </w:p>
    <w:p w:rsidR="00E80785" w:rsidRPr="00550CBF" w:rsidRDefault="00E80785" w:rsidP="00550CBF">
      <w:pPr>
        <w:pStyle w:val="ConsPlusNormal"/>
        <w:jc w:val="right"/>
      </w:pPr>
      <w:proofErr w:type="spellStart"/>
      <w:r w:rsidRPr="00550CBF">
        <w:t>В.С.ПОРЯДИН</w:t>
      </w:r>
      <w:proofErr w:type="spellEnd"/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jc w:val="right"/>
        <w:outlineLvl w:val="0"/>
      </w:pPr>
      <w:r w:rsidRPr="00550CBF">
        <w:t>Приложение</w:t>
      </w:r>
    </w:p>
    <w:p w:rsidR="00E80785" w:rsidRPr="00550CBF" w:rsidRDefault="00E80785" w:rsidP="00550CBF">
      <w:pPr>
        <w:pStyle w:val="ConsPlusNormal"/>
        <w:jc w:val="right"/>
      </w:pPr>
      <w:r w:rsidRPr="00550CBF">
        <w:t>к Решению</w:t>
      </w:r>
    </w:p>
    <w:p w:rsidR="00E80785" w:rsidRPr="00550CBF" w:rsidRDefault="00E80785" w:rsidP="00550CBF">
      <w:pPr>
        <w:pStyle w:val="ConsPlusNormal"/>
        <w:jc w:val="right"/>
      </w:pPr>
      <w:r w:rsidRPr="00550CBF">
        <w:t>Думы городского округа</w:t>
      </w:r>
    </w:p>
    <w:p w:rsidR="00E80785" w:rsidRPr="00550CBF" w:rsidRDefault="00E80785" w:rsidP="00550CBF">
      <w:pPr>
        <w:pStyle w:val="ConsPlusNormal"/>
        <w:jc w:val="right"/>
      </w:pPr>
      <w:r w:rsidRPr="00550CBF">
        <w:t>от 24 февраля 2011 г. N 356-РД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Title"/>
        <w:jc w:val="center"/>
      </w:pPr>
      <w:bookmarkStart w:id="0" w:name="P33"/>
      <w:bookmarkEnd w:id="0"/>
      <w:r w:rsidRPr="00550CBF">
        <w:t>ПОРЯДОК</w:t>
      </w:r>
    </w:p>
    <w:p w:rsidR="00E80785" w:rsidRPr="00550CBF" w:rsidRDefault="00E80785" w:rsidP="00550CBF">
      <w:pPr>
        <w:pStyle w:val="ConsPlusTitle"/>
        <w:jc w:val="center"/>
      </w:pPr>
      <w:r w:rsidRPr="00550CBF">
        <w:t>ПРОВЕДЕНИЯ ВНЕШНЕЙ ПРОВЕРКИ ГОДОВОГО ОТЧЕТА</w:t>
      </w:r>
      <w:r w:rsidR="00550CBF">
        <w:t xml:space="preserve"> </w:t>
      </w:r>
      <w:r w:rsidRPr="00550CBF">
        <w:t>ОБ ИСПОЛНЕНИИ БЮДЖЕТА ГОРОДСКОГО ОКРУГА СУХОЙ ЛОГ</w:t>
      </w:r>
    </w:p>
    <w:p w:rsidR="00E80785" w:rsidRPr="00550CBF" w:rsidRDefault="00E80785" w:rsidP="00550CBF">
      <w:pPr>
        <w:spacing w:after="0" w:line="240" w:lineRule="auto"/>
      </w:pP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jc w:val="center"/>
        <w:outlineLvl w:val="1"/>
      </w:pPr>
      <w:r w:rsidRPr="00550CBF">
        <w:t>1. ОБЩИЕ ПОЛОЖЕНИЯ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1. Настоящий Порядок разработан в соответствии с требованиями Бюджетного </w:t>
      </w:r>
      <w:hyperlink r:id="rId6" w:history="1">
        <w:r w:rsidRPr="00550CBF">
          <w:t>кодекса</w:t>
        </w:r>
      </w:hyperlink>
      <w:r w:rsidRPr="00550CBF">
        <w:t xml:space="preserve"> Российской Федерации, </w:t>
      </w:r>
      <w:hyperlink r:id="rId7" w:history="1">
        <w:r w:rsidRPr="00550CBF">
          <w:t>Положением</w:t>
        </w:r>
      </w:hyperlink>
      <w:r w:rsidRPr="00550CBF">
        <w:t xml:space="preserve"> о бюджетном процессе в городском округе Сухой Лог, </w:t>
      </w:r>
      <w:hyperlink r:id="rId8" w:history="1">
        <w:r w:rsidRPr="00550CBF">
          <w:t>Положением</w:t>
        </w:r>
      </w:hyperlink>
      <w:r w:rsidRPr="00550CBF">
        <w:t xml:space="preserve"> о Счетной палате городского округа Сухой Лог и другими нормативными правовыми актами, регламентирующими бюджетные правоотношения.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2. Годовой отчет об исполнении бюджета городского округа Сухой Лог (далее - годовой отчет) до его утверждения Думой городского округа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3. Внешняя проверка годового отчета осуществляется Счетной палатой городского округа Сухой Лог (далее - Счетная палата).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4. Годовая бюджетная отчетность представляется главными распорядителями, распорядителями, получателями бюджетных средств, главными администраторами, администраторами доходов в бюджет, главными администраторами, администраторами источников финансирования дефицита для проведения внешней проверки в Счетную палату не </w:t>
      </w:r>
      <w:r w:rsidRPr="00550CBF">
        <w:lastRenderedPageBreak/>
        <w:t>позднее 25 февраля, следующего за отчетным годом.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5. Состав бюджетной отчетности определяется </w:t>
      </w:r>
      <w:hyperlink r:id="rId9" w:history="1">
        <w:r w:rsidRPr="00550CBF">
          <w:t>Инструкцией</w:t>
        </w:r>
      </w:hyperlink>
      <w:r w:rsidRPr="00550CBF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утвержденной Приказом Министерства финансов Российской Федерации.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6. Глава городского округа Сухой Лог представляет годовой отчет в Счетную палату для проведения внешней проверки не позднее 1 апреля текущего года.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7. Годовой отчет состоит из форм, установленных Бюджетным </w:t>
      </w:r>
      <w:hyperlink r:id="rId10" w:history="1">
        <w:r w:rsidRPr="00550CBF">
          <w:t>кодексом</w:t>
        </w:r>
      </w:hyperlink>
      <w:r w:rsidRPr="00550CBF">
        <w:t xml:space="preserve"> Российской Федерации.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8. Счетная палата готовит заключение на годовой отчет на основании данных внешней проверки годовой бюджетной отчетности и в срок не превышающий один месяц представляет его в Думу городского округа с одновременным направлением Главе городского округа Сухой Лог.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jc w:val="center"/>
        <w:outlineLvl w:val="1"/>
      </w:pPr>
      <w:r w:rsidRPr="00550CBF">
        <w:t>2. ПОНЯТИЕ, ЦЕЛЬ И ПРЕДМЕТ ВНЕШНЕЙ ПРОВЕРКИ</w:t>
      </w:r>
    </w:p>
    <w:p w:rsidR="00E80785" w:rsidRPr="00550CBF" w:rsidRDefault="00E80785" w:rsidP="00550CBF">
      <w:pPr>
        <w:pStyle w:val="ConsPlusNormal"/>
        <w:jc w:val="center"/>
      </w:pPr>
      <w:r w:rsidRPr="00550CBF">
        <w:t>ГОДОВОГО ОТЧЕТА ОБ ИСПОЛНЕНИИ МЕСТНОГО БЮДЖЕТА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1. Внешняя проверка годового отчета представляет собой систему обязательных контрольных действий по проверке годовой отчетности по составу, соответствию установленным формам, достоверности отражения показателей бюджетной отчетности.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2. Целью внешней проверки является определение полноты и достоверности годовой бюджетной отчетности.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3. Объектами проверки являются: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главные распорядители бюджетных средств;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получатели бюджетных средств;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главные администраторы доходов бюджета;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главные администраторы источников финансирования дефицита бюджета;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Финансовое управление Администрации городского округа (далее - Финансовое управление) как орган, организующий и исполняющий бюджет городского округа.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4. Предметом внешней проверки является годовая бюджетная отчетность, представленная главными распорядителями и получателями бюджетных средств, главными администраторами доходов бюджета, главными администраторами источников финансирования дефицита бюджета, Финансовым управлением по формам согласно </w:t>
      </w:r>
      <w:hyperlink r:id="rId11" w:history="1">
        <w:r w:rsidRPr="00550CBF">
          <w:t>Инструкции</w:t>
        </w:r>
      </w:hyperlink>
      <w:r w:rsidRPr="00550CBF">
        <w:t>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 При осуществлении полномочий по внешней проверке годового отчета об исполнении бюджета Счетной палатой может быть запрошена у участников бюджетного процесса дополнительная информация: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5.1. Перечень главных распорядителей и подведомственных им распорядителей и получателей бюджетных средств.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5.2. Перечень главных администраторов доходов бюджета и подведомственных им администраторов доходов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5.3. Номера приказов Финансового управления об утверждении сводной бюджетной росписи.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5.4. Кассовый план и кассовое исполнение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5.5. Уточненный реестр расходных обязательств городского округа Сухой Лог.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5.6. Сведения о кредиторской и дебиторской задолженности бюджета городского округа на начало и на конец отчетного года (с расшифровкой).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5.7. Доходы бюджета городского округа, сгруппированные по главным администраторам с указанием кода доходов, плановых назначений и фактического исполнения.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5.8. Итоги социально-экономического городского округа Сухой Лог за истекший год.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5.9. Информация о муниципальном долге (предоставленных и исполненных муниципальных гарантиях по каждому получателю отдельно, бюджетным кредитам от бюджетов других уровней и кредитных организаций).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5.10. Сведения о предоставленных и погашенных бюджетных кредитах.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5.11. Отчет об использовании средств Резервного фонда Администрации городского округа Сухой Лог.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5.12. Реестр муниципальных программ с указанием нормативного правового акта, утвердившего программу, главного распорядителя, суммы финансирования (фактического финансирования, плановые ассигнования бюджета, плановые назначения программы).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lastRenderedPageBreak/>
        <w:t>5.13. Оценка эффективности реализации муниципальных программ, достижение целевых показателей, выполнение мероприятий программы.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5.14. Сведения о выполнении и о финансовом обеспечении выполнения муниципальных заданий на оказание муниципальных услуг казенными, автономными и бюджетными учреждениями.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5.15. Отчеты об исполнении бюджетных смет казенными учреждениями.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5.16. Доклады субъектов бюджетного планирования о результатах и основных направлениях деятельности (положение о докладах субъектов бюджетного планирования).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5.17. Данные о доходах, полученных в результате оказания платных услуг получателями бюджетных средств.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5.18. Сведения об остатках средств на счетах по учету средств бюджета, в том числе по целевым средствам областного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5.19. Сведения о льготах по налогам и сборам, предоставленных органами местного самоуправления налогоплательщикам, с указанием даты предоставления и льготного периода, а также объемов выпадающих доходов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5.20. Сведения о льготах, предоставленных по аренде земельных участков и имущества, а также сумм выпадающих доходов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5.21. Список имущества, переданного в безвозмездное пользование с указанием основания для передачи, пользователей имущества и сумм выпадающих доходов местного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5.22. Сведения о доходах, полученных от использования муниципального имущества.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5.23. Отчет о выполнении программы приватизации муниципального имущества.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5.24. Отчетные данные по прибыли, остающейся в распоряжении муниципальных унитарных предприятий и сумме отчислений, подлежащих уплате в бюджет городского округа.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5.25. Сведения о наличии задолженности по арендной плате за земельные участки и имущество, с указанием суммы начисления, оплаты и суммы недоимки на начало и конец отчетного периода.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5.26. Информация о списании безнадежной к взысканию задолженности в бюджет городского округа Сухой Лог по налогам и неналоговым платежа.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5.27. Сведения о размере задолженности по налоговым и иным платежам в бюджет городского округа Сухой Лог на начало и конец отчетного периода.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5.28. Информация (с расшифровкой) об исполнении судебных актов по искам к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исполнении судебных актов по искам к казенным учреждениям городского округа о возмещении вреда, причиненного гражданину или юридическому лицу в результате незаконных действий (бездействия) казенных учреждений либо должностных лиц этих учреждений.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5.29. </w:t>
      </w:r>
      <w:hyperlink r:id="rId12" w:history="1">
        <w:r w:rsidRPr="00550CBF">
          <w:t>Форма N 1-МБ</w:t>
        </w:r>
      </w:hyperlink>
      <w:r w:rsidRPr="00550CBF">
        <w:t xml:space="preserve"> федерального статистического наблюдения за исполнением бюджета муниципального образования (местного бюджета).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5.30. Информация об использовании Дорожного фонда городского округа Сухой Лог.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5.31. Информация об использовании бюджетных инвестиций в объекты капитального строительства и на приобретение объектов недвижимого имущества в муниципальную собственность, бюджетных инвестиций юридическим лицам с указанием юридического лица, объема и цели выделения бюджетных ассигнований.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5.32. Сведения о численности муниципальных служащих (с разбивкой по отраслевым, функциональным органам) и работников муниципальных учреждений (с разбивкой по казенным, бюджетным, автономным учреждениям образования, культуры, спорта и иных учреждений), затраты на их содержание.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5.33. Информация о дотациях на выравнивание бюджетной обеспеченности и дополнительные нормативы отчислений от налога на доходы физических лиц.</w:t>
      </w:r>
    </w:p>
    <w:p w:rsidR="00550CBF" w:rsidRDefault="00550CBF" w:rsidP="00550CBF">
      <w:pPr>
        <w:pStyle w:val="ConsPlusNormal"/>
        <w:jc w:val="center"/>
        <w:outlineLvl w:val="1"/>
      </w:pPr>
    </w:p>
    <w:p w:rsidR="00E80785" w:rsidRPr="00550CBF" w:rsidRDefault="00E80785" w:rsidP="00550CBF">
      <w:pPr>
        <w:pStyle w:val="ConsPlusNormal"/>
        <w:jc w:val="center"/>
        <w:outlineLvl w:val="1"/>
      </w:pPr>
      <w:r w:rsidRPr="00550CBF">
        <w:t>3. ПОДГОТОВКА К ПРОВЕДЕНИЮ ВНЕШНЕЙ ПРОВЕРКИ</w:t>
      </w:r>
    </w:p>
    <w:p w:rsidR="00E80785" w:rsidRPr="00550CBF" w:rsidRDefault="00E80785" w:rsidP="00550CBF">
      <w:pPr>
        <w:pStyle w:val="ConsPlusNormal"/>
        <w:jc w:val="center"/>
      </w:pPr>
      <w:r w:rsidRPr="00550CBF">
        <w:t>ГОДОВОГО ОТЧЕТА ОБ ИСПОЛНЕНИИ МЕСТНОГО БЮДЖЕТА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1. Подготовка к проведению внешней проверки годового отчета включает в себя изучение соответствующей нормативной базы, сбор необходимой информации, определение круга подлежащих проверке вопросов и разработку программы.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lastRenderedPageBreak/>
        <w:t>2. До начала проверки следует получить необходимую информацию, достаточную для того, чтобы обеспечить полноценную базу для подготовки заключения на годовой отчет об исполнении местного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3. Нормативной базой для проведения проверки являются: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Бюджетный </w:t>
      </w:r>
      <w:hyperlink r:id="rId13" w:history="1">
        <w:r w:rsidRPr="00550CBF">
          <w:t>кодекс</w:t>
        </w:r>
      </w:hyperlink>
      <w:r w:rsidRPr="00550CBF">
        <w:t xml:space="preserve"> Российской Федерации;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</w:t>
      </w:r>
      <w:hyperlink r:id="rId14" w:history="1">
        <w:r w:rsidRPr="00550CBF">
          <w:t>Инструкция</w:t>
        </w:r>
      </w:hyperlink>
      <w:r w:rsidRPr="00550CBF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</w:t>
      </w:r>
      <w:hyperlink r:id="rId15" w:history="1">
        <w:r w:rsidRPr="00550CBF">
          <w:t>Инструкция</w:t>
        </w:r>
      </w:hyperlink>
      <w:r w:rsidRPr="00550CBF">
        <w:t xml:space="preserve"> по бюджетному учету, утвержденная Приказом Министерства финансов Российской Федерации;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</w:t>
      </w:r>
      <w:hyperlink r:id="rId16" w:history="1">
        <w:r w:rsidRPr="00550CBF">
          <w:t>Методические указания</w:t>
        </w:r>
      </w:hyperlink>
      <w:r w:rsidRPr="00550CBF">
        <w:t xml:space="preserve"> по инвентаризации имущества и финансовых обязательств, утвержденные Приказом Министерства финансов Российской Федерации.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Кроме того, для проведения проверки используется: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</w:t>
      </w:r>
      <w:hyperlink r:id="rId17" w:history="1">
        <w:r w:rsidRPr="00550CBF">
          <w:t>Устав</w:t>
        </w:r>
      </w:hyperlink>
      <w:r w:rsidRPr="00550CBF">
        <w:t xml:space="preserve"> городского округа Сухой Лог;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</w:t>
      </w:r>
      <w:hyperlink r:id="rId18" w:history="1">
        <w:r w:rsidRPr="00550CBF">
          <w:t>Положение</w:t>
        </w:r>
      </w:hyperlink>
      <w:r w:rsidRPr="00550CBF">
        <w:t xml:space="preserve"> о бюджетном процессе в городском округе Сухой Лог;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Решение Думы городского округа об утверждении структуры Администрации городского округа;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Решение Думы городского округа о бюджете городского округа Сухой Лог на соответствующий финансовый год (с приложениями о доходах и расходах бюджета по разделам функциональной классификации и ведомственной структуре);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Решения Думы городского округа о внесении изменений в местный бюджет;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бюджетные росписи расходов, включая внесение изменений в них;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муниципальные правовые акты Администрации городского округа Сухой Лог, соглашения, регламент взаимодействия с Управлением Федерального казначейства Российской Федерации, распоряжения, приказы Финансового управления по регулированию вопросов кассового обслуживания бюджета;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материалы инвентаризации активов и обязательств;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иные документы.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4. При проведении проверки обязательно проверяется контрольное соотношение между взаимосвязанными показателями форм отчетности в соответствии с указаниями Федерального казначейства Российской Федерации.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jc w:val="center"/>
        <w:outlineLvl w:val="1"/>
      </w:pPr>
      <w:r w:rsidRPr="00550CBF">
        <w:t>4. ПРОВЕДЕНИЕ ВНЕШНЕЙ ПРОВЕРКИ БЮДЖЕТНОЙ ОТЧЕТНОСТИ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1. Годовой отчет включает в себя следующую бюджетную отчетность: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отчет об исполнении бюджета;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баланс исполнения бюджета;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отчет о финансовых результатах деятельности;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отчет о движении денежных средств;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пояснительную записку.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2. В ходе внешней проверки не проводится проверка состояния бюджетного учета, исполнения смет доходов и расходов бюджетополучателей.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3. Правильность отражения операций в регистрах бюджетного учета, Главной книги не подвергается сомнению.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4. Проверка бюджетной отчетности главных администраторов, главных распорядителей и получателей бюджетных средств проводится комбинированным способом (комбинирование сплошных и выборочных проверок для различных объектов проверки).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5. Проведение внешней проверки осуществляется в несколько этапов: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1) проверка полноты и достоверности бюджетной отчетности, представленной главными администраторами доходов бюджета, главными администраторами источников финансирования дефицита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В ходе проведения внешней проверки годовой отчетности осуществляется проверка: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на соответствие количества представленных в Счетную палату годовых отчетов решению Думы городского округа о бюджете на соответствующий финансовый год;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на соответствие состава представленной годовой отчетности требованиям, установленным </w:t>
      </w:r>
      <w:hyperlink r:id="rId19" w:history="1">
        <w:r w:rsidRPr="00550CBF">
          <w:t>Инструкцией</w:t>
        </w:r>
      </w:hyperlink>
      <w:r w:rsidRPr="00550CBF">
        <w:t>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lastRenderedPageBreak/>
        <w:t>- на соответствие сумм поступлений в бюджет городского округа с отчетностью, предоставленной органом, осуществляющим кассовое обслуживание исполнения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По данным годовой отчетности Счетной палатой составляются аналитические таблицы для использования при проведении последующих этапов внешней проверки. Аналитические таблицы разрабатываются Счетной палатой самостоятельно с учетом необходимости;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2) внешняя проверка годовой отчетности, представленной главными распорядителями и получателями бюджетных средств.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Внешняя проверка годовой отчетности главных распорядителей бюджетных средств проводится с целью проверки полноты и достоверности годовой бюджетной отчетности, представленной главными распорядителями бюджетных средств.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Внешняя проверка включает проверку: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на соответствие количества представленной главными распорядителями бюджетных средств годовой отчетности решению Думы городского округа о бюджете на соответствующий финансовый год;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на соответствие состава представленной годовой отчетности требованиям, установленным </w:t>
      </w:r>
      <w:hyperlink r:id="rId20" w:history="1">
        <w:r w:rsidRPr="00550CBF">
          <w:t>Инструкцией</w:t>
        </w:r>
      </w:hyperlink>
      <w:r w:rsidRPr="00550CBF">
        <w:t>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на соответствие данных годовой отчетности главных распорядителей бюджетных средств сводным данным подведомственных получателей по соответствующим формам: баланс главного распорядителя бюджетных средств </w:t>
      </w:r>
      <w:hyperlink r:id="rId21" w:history="1">
        <w:r w:rsidRPr="00550CBF">
          <w:t>(форма 0503130)</w:t>
        </w:r>
      </w:hyperlink>
      <w:r w:rsidRPr="00550CBF">
        <w:t xml:space="preserve">, отчет об исполнении бюджета главного распорядителя средств бюджета </w:t>
      </w:r>
      <w:hyperlink r:id="rId22" w:history="1">
        <w:r w:rsidRPr="00550CBF">
          <w:t>(форма 0503127)</w:t>
        </w:r>
      </w:hyperlink>
      <w:r w:rsidRPr="00550CBF">
        <w:t>, данные пояснительной записки (табличный материал);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на соблюдение контрольных соотношений форм, входящих в состав годовой отчетности.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По данным годовой отчетности главных распорядителей бюджетных средств Счетной палатой составляются аналитические таблицы для использования при проведении последующих этапов внешней проверки. Аналитические таблицы разрабатываются Счетной палатой самостоятельно с учетом необходимости;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3) внешняя проверка годовой отчетности, представленной Финансовым управлением, как органом, осуществляющим исполнение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Внешняя проверка годовой отчетности органа, осуществляющего исполнение бюджета, проводится с целью проверки полноты и достоверности годовой бюджетной отчетности.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Для проведения проверки орган, организующий исполнение бюджета, предоставляет в Счетную палату в срок не позднее 15 марта года, следующего за отчетным: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годовую отчетность органа, организующего исполнение бюджета в составе, установленном </w:t>
      </w:r>
      <w:hyperlink r:id="rId23" w:history="1">
        <w:r w:rsidRPr="00550CBF">
          <w:t>Инструкцией</w:t>
        </w:r>
      </w:hyperlink>
      <w:r w:rsidRPr="00550CBF">
        <w:t>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годовую отчетность органа, осуществляющего кассовое обслуживание исполнения бюджета в составе, установленном </w:t>
      </w:r>
      <w:hyperlink r:id="rId24" w:history="1">
        <w:r w:rsidRPr="00550CBF">
          <w:t>Инструкцией</w:t>
        </w:r>
      </w:hyperlink>
      <w:r w:rsidRPr="00550CBF">
        <w:t>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Внешняя проверка включает проверку: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на соответствие состава представленной годовой отчетности требованиям, установленным </w:t>
      </w:r>
      <w:hyperlink r:id="rId25" w:history="1">
        <w:r w:rsidRPr="00550CBF">
          <w:t>Инструкцией</w:t>
        </w:r>
      </w:hyperlink>
      <w:r w:rsidRPr="00550CBF">
        <w:t>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на соответствие данных годовой отчетности органа, осуществляющего исполнение бюджета сводным данным главных распорядителей бюджетных средств по соответствующим формам: баланс главного распорядителя бюджетных средств </w:t>
      </w:r>
      <w:hyperlink r:id="rId26" w:history="1">
        <w:r w:rsidRPr="00550CBF">
          <w:t>(форма 0503130)</w:t>
        </w:r>
      </w:hyperlink>
      <w:r w:rsidRPr="00550CBF">
        <w:t xml:space="preserve">, отчет об исполнении бюджета главного распорядителя средств бюджета </w:t>
      </w:r>
      <w:hyperlink r:id="rId27" w:history="1">
        <w:r w:rsidRPr="00550CBF">
          <w:t>(форма 0503127)</w:t>
        </w:r>
      </w:hyperlink>
      <w:r w:rsidRPr="00550CBF">
        <w:t>, данные пояснительной записки (табличный материал);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на соответствие данных, отраженных в годовой отчетности органа, осуществляющего исполнение бюджета, данным годовой отчетности, предоставляемой органами федерального казначейства;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на соблюдение контрольных соотношений форм, входящих в состав годовой отчетности.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6. Результаты внешней проверки оформляются актами проверки по каждому субъекту.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jc w:val="center"/>
        <w:outlineLvl w:val="1"/>
      </w:pPr>
      <w:r w:rsidRPr="00550CBF">
        <w:t>5. ЗАКЛЮЧЕНИЕ НА ГОДОВОЙ ОТЧЕТ</w:t>
      </w:r>
    </w:p>
    <w:p w:rsidR="00E80785" w:rsidRPr="00550CBF" w:rsidRDefault="00E80785" w:rsidP="00550CBF">
      <w:pPr>
        <w:pStyle w:val="ConsPlusNormal"/>
        <w:jc w:val="center"/>
      </w:pPr>
      <w:r w:rsidRPr="00550CBF">
        <w:t>ОБ ИСПОЛНЕНИИ МЕСТНОГО БЮДЖЕТА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1. Итоги проведения внешней проверки годового отчета оформляются заключением на годовой отчет об исполнении местного бюджета.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Заключение на годовой отчет об исполнении местного бюджета должно содержать: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lastRenderedPageBreak/>
        <w:t>- цель проверки;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объект проверки;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предмет проверки;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срок проведения проверки;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наименование органа по проведению внешней проверки и состав рабочей группы;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 xml:space="preserve">- номер и дату регистрации </w:t>
      </w:r>
      <w:hyperlink r:id="rId28" w:history="1">
        <w:r w:rsidRPr="00550CBF">
          <w:t>Устава</w:t>
        </w:r>
      </w:hyperlink>
      <w:r w:rsidRPr="00550CBF">
        <w:t xml:space="preserve"> городского округа;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перечень проверенных субъектов бюджетной отчетности;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основание проведения внешней проверки годовой бюджетной отчетности;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- методы проведения внешней проверки.</w:t>
      </w:r>
    </w:p>
    <w:p w:rsidR="00E80785" w:rsidRPr="00550CBF" w:rsidRDefault="00E80785" w:rsidP="00550CBF">
      <w:pPr>
        <w:pStyle w:val="ConsPlusNormal"/>
        <w:ind w:firstLine="540"/>
        <w:jc w:val="both"/>
      </w:pPr>
      <w:r w:rsidRPr="00550CBF">
        <w:t>2. В заключении на годовой отчет об исполнении бюджета делаются выводы о полноте и достоверности годовой бюджетной отчетности.</w:t>
      </w:r>
    </w:p>
    <w:p w:rsidR="00E80785" w:rsidRPr="00550CBF" w:rsidRDefault="00E80785" w:rsidP="00550CBF">
      <w:pPr>
        <w:pStyle w:val="ConsPlusNormal"/>
      </w:pPr>
    </w:p>
    <w:p w:rsidR="00E80785" w:rsidRPr="00550CBF" w:rsidRDefault="00E80785" w:rsidP="00550CBF">
      <w:pPr>
        <w:spacing w:after="0" w:line="240" w:lineRule="auto"/>
      </w:pPr>
      <w:bookmarkStart w:id="1" w:name="_GoBack"/>
      <w:bookmarkEnd w:id="1"/>
    </w:p>
    <w:sectPr w:rsidR="00E80785" w:rsidRPr="00550CBF" w:rsidSect="00550C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85"/>
    <w:rsid w:val="00550CBF"/>
    <w:rsid w:val="00E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EB5D"/>
  <w15:chartTrackingRefBased/>
  <w15:docId w15:val="{FAC7CD72-20B6-496E-8C9E-127761DF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A8ED4A309DC57901C3950256A2B1CE2288BC090EAB6990991F415EA768B33CA5FD6707BC39201A206AD647655DBE2FBFDE59B56B9D9B73440B502A9a6E" TargetMode="External"/><Relationship Id="rId13" Type="http://schemas.openxmlformats.org/officeDocument/2006/relationships/hyperlink" Target="consultantplus://offline/ref=004A8ED4A309DC57901C275D33067516E020D5C993E0B5CB57C3F242B5268D66981F88293B868101A218AF6277A5a7E" TargetMode="External"/><Relationship Id="rId18" Type="http://schemas.openxmlformats.org/officeDocument/2006/relationships/hyperlink" Target="consultantplus://offline/ref=004A8ED4A309DC57901C3950256A2B1CE2288BC090EBB99D0F92F415EA768B33CA5FD6707BC39201A206AD637555DBE2FBFDE59B56B9D9B73440B502A9a6E" TargetMode="External"/><Relationship Id="rId26" Type="http://schemas.openxmlformats.org/officeDocument/2006/relationships/hyperlink" Target="consultantplus://offline/ref=004A8ED4A309DC57901C275D33067516E020D0CF97EBB5CB57C3F242B5268D668A1FD02538859F01A10DF933320B82B0BEB6E99849A5D8B6A2a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4A8ED4A309DC57901C275D33067516E020D0CF97EBB5CB57C3F242B5268D668A1FD02538859F01A10DF933320B82B0BEB6E99849A5D8B6A2a3E" TargetMode="External"/><Relationship Id="rId7" Type="http://schemas.openxmlformats.org/officeDocument/2006/relationships/hyperlink" Target="consultantplus://offline/ref=004A8ED4A309DC57901C3950256A2B1CE2288BC090EBB99D0F92F415EA768B33CA5FD6707BC39201A206AD677555DBE2FBFDE59B56B9D9B73440B502A9a6E" TargetMode="External"/><Relationship Id="rId12" Type="http://schemas.openxmlformats.org/officeDocument/2006/relationships/hyperlink" Target="consultantplus://offline/ref=004A8ED4A309DC57901C275D33067516E225D4CB97E2B5CB57C3F242B5268D668A1FD02538879B07A50DF933320B82B0BEB6E99849A5D8B6A2a3E" TargetMode="External"/><Relationship Id="rId17" Type="http://schemas.openxmlformats.org/officeDocument/2006/relationships/hyperlink" Target="consultantplus://offline/ref=004A8ED4A309DC57901C3950256A2B1CE2288BC093E4BF990F95F415EA768B33CA5FD67069C3CA0DA107B36376408DB3BEAAa1E" TargetMode="External"/><Relationship Id="rId25" Type="http://schemas.openxmlformats.org/officeDocument/2006/relationships/hyperlink" Target="consultantplus://offline/ref=004A8ED4A309DC57901C275D33067516E020D0CF97EBB5CB57C3F242B5268D668A1FD02538879F01A70DF933320B82B0BEB6E99849A5D8B6A2a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4A8ED4A309DC57901C275D33067516E223D2C496E2B5CB57C3F242B5268D668A1FD02538879F01A20DF933320B82B0BEB6E99849A5D8B6A2a3E" TargetMode="External"/><Relationship Id="rId20" Type="http://schemas.openxmlformats.org/officeDocument/2006/relationships/hyperlink" Target="consultantplus://offline/ref=004A8ED4A309DC57901C275D33067516E020D0CF97EBB5CB57C3F242B5268D668A1FD02538879F01A70DF933320B82B0BEB6E99849A5D8B6A2a3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A8ED4A309DC57901C275D33067516E020D5C993E0B5CB57C3F242B5268D668A1FD0263F869E0BF657E9377B5D8EADBEA8F69A57A6ADa1E" TargetMode="External"/><Relationship Id="rId11" Type="http://schemas.openxmlformats.org/officeDocument/2006/relationships/hyperlink" Target="consultantplus://offline/ref=004A8ED4A309DC57901C275D33067516E020D0CF97EBB5CB57C3F242B5268D668A1FD02538879F01A70DF933320B82B0BEB6E99849A5D8B6A2a3E" TargetMode="External"/><Relationship Id="rId24" Type="http://schemas.openxmlformats.org/officeDocument/2006/relationships/hyperlink" Target="consultantplus://offline/ref=004A8ED4A309DC57901C275D33067516E020D0CF97EBB5CB57C3F242B5268D668A1FD02538879F01A70DF933320B82B0BEB6E99849A5D8B6A2a3E" TargetMode="External"/><Relationship Id="rId5" Type="http://schemas.openxmlformats.org/officeDocument/2006/relationships/hyperlink" Target="consultantplus://offline/ref=004A8ED4A309DC57901C275D33067516E020D5C993E0B5CB57C3F242B5268D668A1FD0263F869E0BF657E9377B5D8EADBEA8F69A57A6ADa1E" TargetMode="External"/><Relationship Id="rId15" Type="http://schemas.openxmlformats.org/officeDocument/2006/relationships/hyperlink" Target="consultantplus://offline/ref=004A8ED4A309DC57901C275D33067516EA24D1C890E9E8C15F9AFE40B229D2718D56DC2438879E03A952FC2623538CB2A1A9E88655A7D9ABaEE" TargetMode="External"/><Relationship Id="rId23" Type="http://schemas.openxmlformats.org/officeDocument/2006/relationships/hyperlink" Target="consultantplus://offline/ref=004A8ED4A309DC57901C275D33067516E020D0CF97EBB5CB57C3F242B5268D668A1FD02538879F01A70DF933320B82B0BEB6E99849A5D8B6A2a3E" TargetMode="External"/><Relationship Id="rId28" Type="http://schemas.openxmlformats.org/officeDocument/2006/relationships/hyperlink" Target="consultantplus://offline/ref=004A8ED4A309DC57901C3950256A2B1CE2288BC093E4BF990F95F415EA768B33CA5FD67069C3CA0DA107B36376408DB3BEAAa1E" TargetMode="External"/><Relationship Id="rId10" Type="http://schemas.openxmlformats.org/officeDocument/2006/relationships/hyperlink" Target="consultantplus://offline/ref=004A8ED4A309DC57901C275D33067516E020D5C993E0B5CB57C3F242B5268D66981F88293B868101A218AF6277A5a7E" TargetMode="External"/><Relationship Id="rId19" Type="http://schemas.openxmlformats.org/officeDocument/2006/relationships/hyperlink" Target="consultantplus://offline/ref=004A8ED4A309DC57901C275D33067516E020D0CF97EBB5CB57C3F242B5268D668A1FD02538879F01A70DF933320B82B0BEB6E99849A5D8B6A2a3E" TargetMode="External"/><Relationship Id="rId4" Type="http://schemas.openxmlformats.org/officeDocument/2006/relationships/hyperlink" Target="consultantplus://offline/ref=004A8ED4A309DC57901C3950256A2B1CE2288BC090E1BC9F0E93F415EA768B33CA5FD6707BC39201A206AD627355DBE2FBFDE59B56B9D9B73440B502A9a6E" TargetMode="External"/><Relationship Id="rId9" Type="http://schemas.openxmlformats.org/officeDocument/2006/relationships/hyperlink" Target="consultantplus://offline/ref=004A8ED4A309DC57901C275D33067516E020D0CF97EBB5CB57C3F242B5268D668A1FD02538879F01A70DF933320B82B0BEB6E99849A5D8B6A2a3E" TargetMode="External"/><Relationship Id="rId14" Type="http://schemas.openxmlformats.org/officeDocument/2006/relationships/hyperlink" Target="consultantplus://offline/ref=004A8ED4A309DC57901C275D33067516E020D0CF97EBB5CB57C3F242B5268D668A1FD02538879F01A70DF933320B82B0BEB6E99849A5D8B6A2a3E" TargetMode="External"/><Relationship Id="rId22" Type="http://schemas.openxmlformats.org/officeDocument/2006/relationships/hyperlink" Target="consultantplus://offline/ref=004A8ED4A309DC57901C275D33067516E020D0CF97EBB5CB57C3F242B5268D668A1FD02538859D05A10DF933320B82B0BEB6E99849A5D8B6A2a3E" TargetMode="External"/><Relationship Id="rId27" Type="http://schemas.openxmlformats.org/officeDocument/2006/relationships/hyperlink" Target="consultantplus://offline/ref=004A8ED4A309DC57901C275D33067516E020D0CF97EBB5CB57C3F242B5268D668A1FD02538859D05A10DF933320B82B0BEB6E99849A5D8B6A2a3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3091</Words>
  <Characters>17619</Characters>
  <Application>Microsoft Office Word</Application>
  <DocSecurity>0</DocSecurity>
  <Lines>146</Lines>
  <Paragraphs>41</Paragraphs>
  <ScaleCrop>false</ScaleCrop>
  <Company/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2019-10-31T04:26:00Z</dcterms:created>
  <dcterms:modified xsi:type="dcterms:W3CDTF">2019-10-31T04:35:00Z</dcterms:modified>
</cp:coreProperties>
</file>