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7B" w:rsidRDefault="0009397B" w:rsidP="007F1FD5">
      <w:pPr>
        <w:spacing w:after="0" w:line="240" w:lineRule="auto"/>
        <w:ind w:left="4820"/>
        <w:rPr>
          <w:rFonts w:cs="Times New Roman"/>
          <w:szCs w:val="28"/>
        </w:rPr>
      </w:pPr>
      <w:proofErr w:type="gramStart"/>
      <w:r w:rsidRPr="00F25260">
        <w:rPr>
          <w:rFonts w:cs="Times New Roman"/>
          <w:szCs w:val="28"/>
        </w:rPr>
        <w:t>Утвержден</w:t>
      </w:r>
      <w:proofErr w:type="gramEnd"/>
      <w:r w:rsidRPr="00F25260">
        <w:rPr>
          <w:rFonts w:cs="Times New Roman"/>
          <w:szCs w:val="28"/>
        </w:rPr>
        <w:t xml:space="preserve"> </w:t>
      </w:r>
      <w:r w:rsidR="004657E9">
        <w:rPr>
          <w:rFonts w:cs="Times New Roman"/>
          <w:szCs w:val="28"/>
        </w:rPr>
        <w:t>Приказом председателя</w:t>
      </w:r>
    </w:p>
    <w:p w:rsidR="0009397B" w:rsidRDefault="004657E9" w:rsidP="000C438B">
      <w:pPr>
        <w:spacing w:after="0" w:line="240" w:lineRule="auto"/>
        <w:ind w:left="4820"/>
        <w:rPr>
          <w:rFonts w:cs="Times New Roman"/>
          <w:b/>
          <w:szCs w:val="28"/>
        </w:rPr>
      </w:pPr>
      <w:r>
        <w:rPr>
          <w:rFonts w:cs="Times New Roman"/>
          <w:szCs w:val="28"/>
        </w:rPr>
        <w:t xml:space="preserve">Счетной палаты городского округа Сухой Лог  от </w:t>
      </w:r>
      <w:r w:rsidR="000C438B">
        <w:rPr>
          <w:rFonts w:cs="Times New Roman"/>
          <w:szCs w:val="28"/>
        </w:rPr>
        <w:t>18.11.2013</w:t>
      </w:r>
      <w:r>
        <w:rPr>
          <w:rFonts w:cs="Times New Roman"/>
          <w:szCs w:val="28"/>
        </w:rPr>
        <w:t xml:space="preserve"> № </w:t>
      </w:r>
      <w:r w:rsidR="000C438B">
        <w:rPr>
          <w:rFonts w:cs="Times New Roman"/>
          <w:szCs w:val="28"/>
        </w:rPr>
        <w:t>22</w:t>
      </w:r>
    </w:p>
    <w:p w:rsidR="004657E9" w:rsidRDefault="004657E9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9397B" w:rsidRDefault="007F1FD5" w:rsidP="007F1FD5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 Т А Н Д А </w:t>
      </w:r>
      <w:proofErr w:type="gramStart"/>
      <w:r>
        <w:rPr>
          <w:rFonts w:cs="Times New Roman"/>
          <w:b/>
          <w:szCs w:val="28"/>
        </w:rPr>
        <w:t>Р</w:t>
      </w:r>
      <w:proofErr w:type="gramEnd"/>
      <w:r>
        <w:rPr>
          <w:rFonts w:cs="Times New Roman"/>
          <w:b/>
          <w:szCs w:val="28"/>
        </w:rPr>
        <w:t xml:space="preserve"> Т</w:t>
      </w:r>
    </w:p>
    <w:p w:rsidR="00D67F3D" w:rsidRDefault="00D67F3D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D67F3D" w:rsidRDefault="00D67F3D" w:rsidP="007F1FD5">
      <w:pPr>
        <w:spacing w:after="0" w:line="240" w:lineRule="auto"/>
        <w:jc w:val="center"/>
        <w:rPr>
          <w:rFonts w:cs="Times New Roman"/>
          <w:b/>
          <w:szCs w:val="28"/>
        </w:rPr>
      </w:pPr>
      <w:r w:rsidRPr="0009397B">
        <w:rPr>
          <w:rFonts w:cs="Times New Roman"/>
          <w:b/>
          <w:szCs w:val="28"/>
        </w:rPr>
        <w:t>внешнего муниципального финансового контроля</w:t>
      </w: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4657E9" w:rsidRDefault="004657E9" w:rsidP="007F1FD5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r w:rsidRPr="000633AF">
        <w:rPr>
          <w:rFonts w:cs="Times New Roman"/>
          <w:b/>
          <w:szCs w:val="28"/>
        </w:rPr>
        <w:t>«</w:t>
      </w:r>
      <w:r w:rsidRPr="0009397B">
        <w:rPr>
          <w:rFonts w:cs="Times New Roman"/>
          <w:b/>
          <w:szCs w:val="28"/>
        </w:rPr>
        <w:t xml:space="preserve">Проведение </w:t>
      </w:r>
      <w:proofErr w:type="gramStart"/>
      <w:r w:rsidRPr="0009397B">
        <w:rPr>
          <w:rFonts w:cs="Times New Roman"/>
          <w:b/>
          <w:szCs w:val="28"/>
        </w:rPr>
        <w:t xml:space="preserve">экспертизы проекта Решения </w:t>
      </w:r>
      <w:r w:rsidR="004657E9">
        <w:rPr>
          <w:rFonts w:cs="Times New Roman"/>
          <w:b/>
          <w:szCs w:val="28"/>
        </w:rPr>
        <w:t>Думы городского округа</w:t>
      </w:r>
      <w:proofErr w:type="gramEnd"/>
      <w:r w:rsidR="004657E9">
        <w:rPr>
          <w:rFonts w:cs="Times New Roman"/>
          <w:b/>
          <w:szCs w:val="28"/>
        </w:rPr>
        <w:t xml:space="preserve"> </w:t>
      </w:r>
      <w:r w:rsidRPr="0009397B">
        <w:rPr>
          <w:rFonts w:cs="Times New Roman"/>
          <w:b/>
          <w:szCs w:val="28"/>
        </w:rPr>
        <w:t>о</w:t>
      </w:r>
      <w:r w:rsidR="004657E9">
        <w:rPr>
          <w:rFonts w:cs="Times New Roman"/>
          <w:b/>
          <w:szCs w:val="28"/>
        </w:rPr>
        <w:t xml:space="preserve"> бюджете городского округа Сухой Лог</w:t>
      </w:r>
      <w:r w:rsidRPr="000633AF">
        <w:rPr>
          <w:rFonts w:cs="Times New Roman"/>
          <w:b/>
          <w:szCs w:val="28"/>
        </w:rPr>
        <w:t>»</w:t>
      </w:r>
    </w:p>
    <w:p w:rsidR="0009397B" w:rsidRDefault="00D67F3D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(</w:t>
      </w:r>
      <w:proofErr w:type="spellStart"/>
      <w:r>
        <w:rPr>
          <w:rFonts w:cs="Times New Roman"/>
          <w:b/>
          <w:szCs w:val="28"/>
        </w:rPr>
        <w:t>СФК</w:t>
      </w:r>
      <w:proofErr w:type="spellEnd"/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СЧП</w:t>
      </w:r>
      <w:proofErr w:type="spellEnd"/>
      <w:r>
        <w:rPr>
          <w:rFonts w:cs="Times New Roman"/>
          <w:b/>
          <w:szCs w:val="28"/>
        </w:rPr>
        <w:t xml:space="preserve"> 01)</w:t>
      </w:r>
    </w:p>
    <w:bookmarkEnd w:id="0"/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657E9" w:rsidRDefault="004657E9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657E9" w:rsidRDefault="004657E9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657E9" w:rsidRDefault="004657E9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4657E9" w:rsidRDefault="004657E9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4657E9" w:rsidP="0009397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Сухой Лог </w:t>
      </w:r>
      <w:r w:rsidR="0009397B">
        <w:rPr>
          <w:rFonts w:cs="Times New Roman"/>
          <w:b/>
          <w:szCs w:val="28"/>
        </w:rPr>
        <w:t>2013</w:t>
      </w:r>
    </w:p>
    <w:p w:rsidR="004657E9" w:rsidRDefault="004657E9" w:rsidP="0009397B">
      <w:pPr>
        <w:pStyle w:val="ab"/>
        <w:rPr>
          <w:rFonts w:ascii="Times New Roman" w:hAnsi="Times New Roman" w:cs="Times New Roman"/>
        </w:rPr>
      </w:pPr>
    </w:p>
    <w:p w:rsidR="0009397B" w:rsidRPr="008B1606" w:rsidRDefault="00C80191" w:rsidP="00C80191">
      <w:pPr>
        <w:pStyle w:val="ab"/>
        <w:jc w:val="center"/>
        <w:rPr>
          <w:rFonts w:ascii="Times New Roman" w:hAnsi="Times New Roman" w:cs="Times New Roman"/>
          <w:color w:val="auto"/>
        </w:rPr>
      </w:pPr>
      <w:r w:rsidRPr="008B1606">
        <w:rPr>
          <w:rFonts w:ascii="Times New Roman" w:hAnsi="Times New Roman" w:cs="Times New Roman"/>
          <w:color w:val="auto"/>
        </w:rPr>
        <w:t>Содержание</w:t>
      </w:r>
    </w:p>
    <w:p w:rsidR="0009397B" w:rsidRPr="008B1606" w:rsidRDefault="0009397B" w:rsidP="008B1606">
      <w:pPr>
        <w:pStyle w:val="11"/>
        <w:rPr>
          <w:rFonts w:ascii="Times New Roman" w:hAnsi="Times New Roman" w:cs="Times New Roman"/>
          <w:sz w:val="28"/>
          <w:szCs w:val="28"/>
        </w:rPr>
      </w:pPr>
      <w:r w:rsidRPr="008B1606">
        <w:rPr>
          <w:rFonts w:ascii="Times New Roman" w:hAnsi="Times New Roman" w:cs="Times New Roman"/>
          <w:sz w:val="28"/>
          <w:szCs w:val="28"/>
        </w:rPr>
        <w:t>Общие положения</w:t>
      </w:r>
      <w:r w:rsidRPr="008B1606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8B1606">
        <w:rPr>
          <w:rFonts w:ascii="Times New Roman" w:hAnsi="Times New Roman" w:cs="Times New Roman"/>
          <w:sz w:val="28"/>
          <w:szCs w:val="28"/>
        </w:rPr>
        <w:t>3</w:t>
      </w:r>
    </w:p>
    <w:p w:rsidR="0009397B" w:rsidRPr="008B1606" w:rsidRDefault="0009397B" w:rsidP="008B1606">
      <w:pPr>
        <w:pStyle w:val="2"/>
        <w:rPr>
          <w:rFonts w:ascii="Times New Roman" w:hAnsi="Times New Roman" w:cs="Times New Roman"/>
          <w:sz w:val="28"/>
          <w:szCs w:val="28"/>
        </w:rPr>
      </w:pPr>
      <w:r w:rsidRPr="008B1606">
        <w:rPr>
          <w:rFonts w:ascii="Times New Roman" w:hAnsi="Times New Roman" w:cs="Times New Roman"/>
          <w:sz w:val="28"/>
          <w:szCs w:val="28"/>
        </w:rPr>
        <w:t xml:space="preserve">Цель и задачи стандарта </w:t>
      </w:r>
      <w:r w:rsidRPr="008B1606">
        <w:rPr>
          <w:rFonts w:ascii="Times New Roman" w:hAnsi="Times New Roman" w:cs="Times New Roman"/>
          <w:sz w:val="28"/>
          <w:szCs w:val="28"/>
        </w:rPr>
        <w:ptab w:relativeTo="margin" w:alignment="right" w:leader="dot"/>
      </w:r>
      <w:r w:rsidRPr="008B1606">
        <w:rPr>
          <w:rFonts w:ascii="Times New Roman" w:hAnsi="Times New Roman" w:cs="Times New Roman"/>
          <w:sz w:val="28"/>
          <w:szCs w:val="28"/>
        </w:rPr>
        <w:t>4</w:t>
      </w:r>
    </w:p>
    <w:p w:rsidR="00620DD5" w:rsidRPr="008B1606" w:rsidRDefault="00620DD5" w:rsidP="008B1606">
      <w:pPr>
        <w:pStyle w:val="aa"/>
        <w:numPr>
          <w:ilvl w:val="0"/>
          <w:numId w:val="1"/>
        </w:numPr>
        <w:ind w:left="284" w:hanging="284"/>
        <w:rPr>
          <w:rFonts w:eastAsiaTheme="minorEastAsia" w:cs="Times New Roman"/>
          <w:szCs w:val="28"/>
          <w:lang w:eastAsia="ru-RU"/>
        </w:rPr>
      </w:pPr>
      <w:r w:rsidRPr="008B1606">
        <w:rPr>
          <w:rFonts w:eastAsiaTheme="minorEastAsia" w:cs="Times New Roman"/>
          <w:szCs w:val="28"/>
          <w:lang w:eastAsia="ru-RU"/>
        </w:rPr>
        <w:t>Основы проведения экспертизы …………………..……</w:t>
      </w:r>
      <w:r w:rsidR="008B1606">
        <w:rPr>
          <w:rFonts w:eastAsiaTheme="minorEastAsia" w:cs="Times New Roman"/>
          <w:szCs w:val="28"/>
          <w:lang w:eastAsia="ru-RU"/>
        </w:rPr>
        <w:t>…..</w:t>
      </w:r>
      <w:r w:rsidRPr="008B1606">
        <w:rPr>
          <w:rFonts w:eastAsiaTheme="minorEastAsia" w:cs="Times New Roman"/>
          <w:szCs w:val="28"/>
          <w:lang w:eastAsia="ru-RU"/>
        </w:rPr>
        <w:t xml:space="preserve">………………...4 </w:t>
      </w:r>
    </w:p>
    <w:p w:rsidR="0009397B" w:rsidRPr="008B1606" w:rsidRDefault="0053736E" w:rsidP="008B1606">
      <w:pPr>
        <w:pStyle w:val="aa"/>
        <w:numPr>
          <w:ilvl w:val="0"/>
          <w:numId w:val="1"/>
        </w:numPr>
        <w:spacing w:after="0"/>
        <w:ind w:left="284" w:hanging="284"/>
        <w:rPr>
          <w:rFonts w:eastAsiaTheme="minorEastAsia" w:cs="Times New Roman"/>
          <w:szCs w:val="28"/>
          <w:lang w:eastAsia="ru-RU"/>
        </w:rPr>
      </w:pPr>
      <w:r w:rsidRPr="008B1606">
        <w:rPr>
          <w:rFonts w:eastAsiaTheme="minorEastAsia" w:cs="Times New Roman"/>
          <w:szCs w:val="28"/>
          <w:lang w:eastAsia="ru-RU"/>
        </w:rPr>
        <w:t xml:space="preserve">Структура и основные положения содержания заключения </w:t>
      </w:r>
      <w:r w:rsidR="0009397B" w:rsidRPr="008B1606">
        <w:rPr>
          <w:rFonts w:eastAsiaTheme="minorEastAsia" w:cs="Times New Roman"/>
          <w:szCs w:val="28"/>
          <w:lang w:eastAsia="ru-RU"/>
        </w:rPr>
        <w:t>……</w:t>
      </w:r>
      <w:r w:rsidRPr="008B1606">
        <w:rPr>
          <w:rFonts w:eastAsiaTheme="minorEastAsia" w:cs="Times New Roman"/>
          <w:szCs w:val="28"/>
          <w:lang w:eastAsia="ru-RU"/>
        </w:rPr>
        <w:t xml:space="preserve"> </w:t>
      </w:r>
      <w:r w:rsidR="008B1606">
        <w:rPr>
          <w:rFonts w:eastAsiaTheme="minorEastAsia" w:cs="Times New Roman"/>
          <w:szCs w:val="28"/>
          <w:lang w:eastAsia="ru-RU"/>
        </w:rPr>
        <w:t>…..</w:t>
      </w:r>
      <w:r w:rsidR="0009397B" w:rsidRPr="008B1606">
        <w:rPr>
          <w:rFonts w:eastAsiaTheme="minorEastAsia" w:cs="Times New Roman"/>
          <w:szCs w:val="28"/>
          <w:lang w:eastAsia="ru-RU"/>
        </w:rPr>
        <w:t>……..</w:t>
      </w:r>
      <w:r w:rsidRPr="008B1606">
        <w:rPr>
          <w:rFonts w:eastAsiaTheme="minorEastAsia" w:cs="Times New Roman"/>
          <w:szCs w:val="28"/>
          <w:lang w:eastAsia="ru-RU"/>
        </w:rPr>
        <w:t>8</w:t>
      </w:r>
    </w:p>
    <w:p w:rsidR="0009397B" w:rsidRPr="008B1606" w:rsidRDefault="0053736E" w:rsidP="008B1606">
      <w:pPr>
        <w:pStyle w:val="aa"/>
        <w:numPr>
          <w:ilvl w:val="0"/>
          <w:numId w:val="1"/>
        </w:numPr>
        <w:spacing w:after="0"/>
        <w:ind w:left="284" w:hanging="284"/>
        <w:rPr>
          <w:rFonts w:cs="Times New Roman"/>
          <w:szCs w:val="28"/>
        </w:rPr>
      </w:pPr>
      <w:r w:rsidRPr="008B1606">
        <w:rPr>
          <w:rFonts w:eastAsiaTheme="minorEastAsia" w:cs="Times New Roman"/>
          <w:szCs w:val="28"/>
          <w:lang w:eastAsia="ru-RU"/>
        </w:rPr>
        <w:t xml:space="preserve">Порядок взаимодействия между должностными лицами </w:t>
      </w:r>
      <w:r w:rsidR="004657E9" w:rsidRPr="008B1606">
        <w:rPr>
          <w:rFonts w:eastAsiaTheme="minorEastAsia" w:cs="Times New Roman"/>
          <w:szCs w:val="28"/>
          <w:lang w:eastAsia="ru-RU"/>
        </w:rPr>
        <w:t xml:space="preserve">Счетной палаты </w:t>
      </w:r>
      <w:r w:rsidRPr="008B1606">
        <w:rPr>
          <w:rFonts w:eastAsiaTheme="minorEastAsia" w:cs="Times New Roman"/>
          <w:szCs w:val="28"/>
          <w:lang w:eastAsia="ru-RU"/>
        </w:rPr>
        <w:t xml:space="preserve">в ходе проведения </w:t>
      </w:r>
      <w:r w:rsidR="00C80191" w:rsidRPr="008B1606">
        <w:rPr>
          <w:rFonts w:eastAsiaTheme="minorEastAsia" w:cs="Times New Roman"/>
          <w:szCs w:val="28"/>
          <w:lang w:eastAsia="ru-RU"/>
        </w:rPr>
        <w:t>э</w:t>
      </w:r>
      <w:r w:rsidRPr="008B1606">
        <w:rPr>
          <w:rFonts w:eastAsiaTheme="minorEastAsia" w:cs="Times New Roman"/>
          <w:szCs w:val="28"/>
          <w:lang w:eastAsia="ru-RU"/>
        </w:rPr>
        <w:t>кспертизы...</w:t>
      </w:r>
      <w:r w:rsidR="0009397B" w:rsidRPr="008B1606">
        <w:rPr>
          <w:rFonts w:eastAsiaTheme="minorEastAsia" w:cs="Times New Roman"/>
          <w:szCs w:val="28"/>
          <w:lang w:eastAsia="ru-RU"/>
        </w:rPr>
        <w:t>……</w:t>
      </w:r>
      <w:r w:rsidR="008B1606">
        <w:rPr>
          <w:rFonts w:eastAsiaTheme="minorEastAsia" w:cs="Times New Roman"/>
          <w:szCs w:val="28"/>
          <w:lang w:eastAsia="ru-RU"/>
        </w:rPr>
        <w:t>……………………..</w:t>
      </w:r>
      <w:r w:rsidR="0009397B" w:rsidRPr="008B1606">
        <w:rPr>
          <w:rFonts w:eastAsiaTheme="minorEastAsia" w:cs="Times New Roman"/>
          <w:szCs w:val="28"/>
          <w:lang w:eastAsia="ru-RU"/>
        </w:rPr>
        <w:t>…………..………...</w:t>
      </w:r>
      <w:r w:rsidR="00F27F4E" w:rsidRPr="008B1606">
        <w:rPr>
          <w:rFonts w:eastAsiaTheme="minorEastAsia" w:cs="Times New Roman"/>
          <w:szCs w:val="28"/>
          <w:lang w:eastAsia="ru-RU"/>
        </w:rPr>
        <w:t>9</w:t>
      </w:r>
    </w:p>
    <w:p w:rsidR="0009397B" w:rsidRPr="008B1606" w:rsidRDefault="0009397B" w:rsidP="0009397B">
      <w:pPr>
        <w:rPr>
          <w:rFonts w:cs="Times New Roman"/>
          <w:szCs w:val="28"/>
          <w:lang w:eastAsia="ru-RU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8B1606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8B1606" w:rsidRDefault="008B1606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8B1606" w:rsidRDefault="008B1606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9397B" w:rsidRDefault="0009397B" w:rsidP="0009397B">
      <w:pPr>
        <w:spacing w:after="0" w:line="240" w:lineRule="auto"/>
        <w:ind w:firstLine="709"/>
        <w:jc w:val="center"/>
        <w:rPr>
          <w:rFonts w:cs="Times New Roman"/>
          <w:b/>
          <w:szCs w:val="28"/>
        </w:rPr>
      </w:pPr>
    </w:p>
    <w:p w:rsidR="000215D0" w:rsidRDefault="000215D0" w:rsidP="000215D0">
      <w:pPr>
        <w:spacing w:after="0" w:line="240" w:lineRule="auto"/>
        <w:jc w:val="center"/>
      </w:pPr>
    </w:p>
    <w:p w:rsidR="008B1606" w:rsidRDefault="008B1606" w:rsidP="000215D0">
      <w:pPr>
        <w:spacing w:after="0" w:line="240" w:lineRule="auto"/>
        <w:jc w:val="center"/>
        <w:rPr>
          <w:b/>
        </w:rPr>
      </w:pPr>
    </w:p>
    <w:p w:rsidR="001365B4" w:rsidRDefault="001365B4" w:rsidP="000215D0">
      <w:pPr>
        <w:spacing w:after="0" w:line="240" w:lineRule="auto"/>
        <w:jc w:val="center"/>
        <w:rPr>
          <w:b/>
        </w:rPr>
      </w:pPr>
      <w:proofErr w:type="spellStart"/>
      <w:r w:rsidRPr="003617CD">
        <w:rPr>
          <w:b/>
        </w:rPr>
        <w:t>1.Общие</w:t>
      </w:r>
      <w:proofErr w:type="spellEnd"/>
      <w:r w:rsidRPr="003617CD">
        <w:rPr>
          <w:b/>
        </w:rPr>
        <w:t xml:space="preserve"> положения</w:t>
      </w:r>
    </w:p>
    <w:p w:rsidR="003617CD" w:rsidRPr="003617CD" w:rsidRDefault="003617CD" w:rsidP="000215D0">
      <w:pPr>
        <w:spacing w:after="0" w:line="240" w:lineRule="auto"/>
        <w:jc w:val="center"/>
        <w:rPr>
          <w:b/>
        </w:rPr>
      </w:pPr>
    </w:p>
    <w:p w:rsidR="001365B4" w:rsidRDefault="001365B4" w:rsidP="001E5530">
      <w:pPr>
        <w:spacing w:after="0" w:line="240" w:lineRule="auto"/>
        <w:ind w:firstLine="709"/>
        <w:jc w:val="both"/>
      </w:pPr>
      <w:r>
        <w:t>1.1.</w:t>
      </w:r>
      <w:r>
        <w:tab/>
        <w:t xml:space="preserve"> Стандарт внешнего </w:t>
      </w:r>
      <w:r w:rsidR="0009397B">
        <w:t>м</w:t>
      </w:r>
      <w:r w:rsidR="000215D0">
        <w:t>униципального</w:t>
      </w:r>
      <w:r>
        <w:t xml:space="preserve"> финансового контроля «Проведение </w:t>
      </w:r>
      <w:proofErr w:type="gramStart"/>
      <w:r>
        <w:t xml:space="preserve">экспертизы проекта </w:t>
      </w:r>
      <w:r w:rsidR="000215D0" w:rsidRPr="000215D0">
        <w:t xml:space="preserve">Решения </w:t>
      </w:r>
      <w:r w:rsidR="004657E9">
        <w:t>Думы городского округа</w:t>
      </w:r>
      <w:proofErr w:type="gramEnd"/>
      <w:r w:rsidR="004657E9">
        <w:t xml:space="preserve"> </w:t>
      </w:r>
      <w:r w:rsidR="000215D0" w:rsidRPr="000215D0">
        <w:t xml:space="preserve">о </w:t>
      </w:r>
      <w:r w:rsidR="004657E9">
        <w:t>бюджете городского округа Сухой Лог</w:t>
      </w:r>
      <w:r>
        <w:t>» (далее Стандарт) разработан на основе:</w:t>
      </w:r>
    </w:p>
    <w:p w:rsidR="001365B4" w:rsidRDefault="001365B4" w:rsidP="001E5530">
      <w:pPr>
        <w:spacing w:after="0" w:line="240" w:lineRule="auto"/>
        <w:ind w:firstLine="709"/>
        <w:jc w:val="both"/>
      </w:pPr>
      <w:r>
        <w:t>Бюджетного кодекса Российской Федерации;</w:t>
      </w:r>
    </w:p>
    <w:p w:rsidR="00DD2351" w:rsidRDefault="006E74E5" w:rsidP="001E5530">
      <w:pPr>
        <w:spacing w:after="0" w:line="240" w:lineRule="auto"/>
        <w:ind w:firstLine="709"/>
        <w:jc w:val="both"/>
      </w:pPr>
      <w:r>
        <w:t xml:space="preserve">Федерального закона от 07 февраля </w:t>
      </w:r>
      <w:proofErr w:type="spellStart"/>
      <w:r>
        <w:t>2011года</w:t>
      </w:r>
      <w:proofErr w:type="spellEnd"/>
      <w:r>
        <w:t xml:space="preserve"> № 6-ФЗ «</w:t>
      </w:r>
      <w:r w:rsidRPr="006E74E5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t>»</w:t>
      </w:r>
      <w:r w:rsidR="0053736E">
        <w:t xml:space="preserve"> (далее Федеральный закон № 6-ФЗ)</w:t>
      </w:r>
      <w:r>
        <w:t>;</w:t>
      </w:r>
    </w:p>
    <w:p w:rsidR="00DD2351" w:rsidRDefault="00DD2351" w:rsidP="001E5530">
      <w:pPr>
        <w:spacing w:after="0" w:line="240" w:lineRule="auto"/>
        <w:ind w:firstLine="709"/>
        <w:jc w:val="both"/>
      </w:pPr>
      <w:r>
        <w:rPr>
          <w:rFonts w:cs="Times New Roman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1365B4" w:rsidRDefault="00A10441" w:rsidP="001E5530">
      <w:pPr>
        <w:spacing w:after="0" w:line="240" w:lineRule="auto"/>
        <w:ind w:firstLine="709"/>
        <w:jc w:val="both"/>
      </w:pPr>
      <w:r>
        <w:t>С</w:t>
      </w:r>
      <w:r w:rsidR="001365B4">
        <w:t xml:space="preserve">тандарта финансового контроля </w:t>
      </w:r>
      <w:proofErr w:type="spellStart"/>
      <w:r w:rsidR="001365B4">
        <w:t>СФК</w:t>
      </w:r>
      <w:proofErr w:type="spellEnd"/>
      <w:r w:rsidR="001365B4">
        <w:t xml:space="preserve"> 201 «Предварительный контроль формирования проекта федерального бюджета»</w:t>
      </w:r>
      <w:r w:rsidR="00383457">
        <w:t xml:space="preserve"> </w:t>
      </w:r>
      <w:r w:rsidR="001365B4">
        <w:t xml:space="preserve">(утвержден Решением Коллегии Счетной </w:t>
      </w:r>
      <w:r w:rsidR="00DD2351">
        <w:t>палаты</w:t>
      </w:r>
      <w:r w:rsidR="001365B4">
        <w:t xml:space="preserve"> Российской Федерации, протокол от 15 июля 2011 года № </w:t>
      </w:r>
      <w:proofErr w:type="spellStart"/>
      <w:r w:rsidR="001365B4">
        <w:t>38К</w:t>
      </w:r>
      <w:proofErr w:type="spellEnd"/>
      <w:r w:rsidR="001365B4">
        <w:t xml:space="preserve"> (805));</w:t>
      </w:r>
    </w:p>
    <w:p w:rsidR="00383457" w:rsidRDefault="00A10441" w:rsidP="00383457">
      <w:pPr>
        <w:spacing w:after="0" w:line="240" w:lineRule="auto"/>
        <w:ind w:firstLine="709"/>
        <w:jc w:val="both"/>
      </w:pPr>
      <w:r>
        <w:t xml:space="preserve">Общих требований к стандартам внешнего государственного и муниципального </w:t>
      </w:r>
      <w:r w:rsidR="00E12C00">
        <w:t>финансового</w:t>
      </w:r>
      <w:r>
        <w:t xml:space="preserve"> контроля (утверждены Коллегией Счетной палаты Российской Федерации 12 мая 2012 № </w:t>
      </w:r>
      <w:proofErr w:type="spellStart"/>
      <w:r>
        <w:t>21К</w:t>
      </w:r>
      <w:proofErr w:type="spellEnd"/>
      <w:r>
        <w:t xml:space="preserve"> (854))</w:t>
      </w:r>
      <w:r w:rsidR="00383457">
        <w:t xml:space="preserve">; </w:t>
      </w:r>
    </w:p>
    <w:p w:rsidR="00383457" w:rsidRDefault="00383457" w:rsidP="00383457">
      <w:pPr>
        <w:spacing w:after="0" w:line="240" w:lineRule="auto"/>
        <w:ind w:firstLine="709"/>
        <w:jc w:val="both"/>
      </w:pPr>
      <w:r>
        <w:t xml:space="preserve">Положения о Счетной палате городского округа Сухой Лог </w:t>
      </w:r>
      <w:r w:rsidRPr="001E5530">
        <w:t xml:space="preserve">(далее </w:t>
      </w:r>
      <w:r>
        <w:t>Положение</w:t>
      </w:r>
      <w:r w:rsidRPr="001E5530">
        <w:t>);</w:t>
      </w:r>
    </w:p>
    <w:p w:rsidR="00383457" w:rsidRDefault="00383457" w:rsidP="00383457">
      <w:pPr>
        <w:spacing w:after="0" w:line="240" w:lineRule="auto"/>
        <w:ind w:firstLine="709"/>
        <w:jc w:val="both"/>
      </w:pPr>
      <w:r>
        <w:t>Регламента Счетной палаты городского округа Сухой Лог (далее – Регламент);</w:t>
      </w:r>
    </w:p>
    <w:p w:rsidR="00383457" w:rsidRDefault="00383457" w:rsidP="00383457">
      <w:pPr>
        <w:spacing w:after="0" w:line="240" w:lineRule="auto"/>
        <w:ind w:firstLine="709"/>
        <w:jc w:val="both"/>
      </w:pPr>
      <w:r>
        <w:t>Положения о бюджетном процессе в городском округе Сухой Лог (далее Положение о бюджетном процессе);</w:t>
      </w:r>
    </w:p>
    <w:p w:rsidR="001365B4" w:rsidRDefault="001365B4" w:rsidP="001E5530">
      <w:pPr>
        <w:spacing w:after="0" w:line="240" w:lineRule="auto"/>
        <w:ind w:firstLine="709"/>
        <w:jc w:val="both"/>
      </w:pPr>
      <w:r>
        <w:t>1.2.</w:t>
      </w:r>
      <w:r>
        <w:tab/>
        <w:t xml:space="preserve"> Стандарт разработан для использования должностными лицами </w:t>
      </w:r>
      <w:r w:rsidR="00383457">
        <w:t xml:space="preserve">Счетной палаты городского округа Сухой Лог </w:t>
      </w:r>
      <w:r>
        <w:t>(далее</w:t>
      </w:r>
      <w:r w:rsidR="008362E9">
        <w:t xml:space="preserve"> </w:t>
      </w:r>
      <w:proofErr w:type="spellStart"/>
      <w:r w:rsidR="00383457">
        <w:t>СЧП</w:t>
      </w:r>
      <w:proofErr w:type="spellEnd"/>
      <w:r>
        <w:t>)</w:t>
      </w:r>
      <w:r w:rsidR="008362E9">
        <w:t xml:space="preserve"> </w:t>
      </w:r>
      <w:r>
        <w:t xml:space="preserve">при проведении экспертизы </w:t>
      </w:r>
      <w:r w:rsidR="00DD2351">
        <w:t>и</w:t>
      </w:r>
      <w:r>
        <w:t xml:space="preserve"> подготовке заключения на </w:t>
      </w:r>
      <w:r w:rsidR="003617CD">
        <w:t xml:space="preserve">проект </w:t>
      </w:r>
      <w:r w:rsidR="00383457">
        <w:t>Р</w:t>
      </w:r>
      <w:r w:rsidR="003617CD">
        <w:t xml:space="preserve">ешения </w:t>
      </w:r>
      <w:r w:rsidR="00383457">
        <w:t xml:space="preserve">Думы городского округа </w:t>
      </w:r>
      <w:r w:rsidR="003617CD">
        <w:t xml:space="preserve">о </w:t>
      </w:r>
      <w:r w:rsidR="00383457">
        <w:t xml:space="preserve">бюджете городского округа Сухой Лог </w:t>
      </w:r>
      <w:r>
        <w:t xml:space="preserve">на очередной финансовый год и плановый период (далее </w:t>
      </w:r>
      <w:r w:rsidR="0053736E">
        <w:t>Проект решения</w:t>
      </w:r>
      <w:r>
        <w:t>).</w:t>
      </w:r>
    </w:p>
    <w:p w:rsidR="001365B4" w:rsidRDefault="001365B4" w:rsidP="001E5530">
      <w:pPr>
        <w:spacing w:after="0" w:line="240" w:lineRule="auto"/>
        <w:ind w:firstLine="709"/>
        <w:jc w:val="both"/>
      </w:pPr>
      <w:r>
        <w:t>1.</w:t>
      </w:r>
      <w:r w:rsidR="0009397B">
        <w:t>3</w:t>
      </w:r>
      <w:r>
        <w:t>.</w:t>
      </w:r>
      <w:r>
        <w:tab/>
        <w:t xml:space="preserve"> При организации и проведении экспертизы должностные лица </w:t>
      </w:r>
      <w:proofErr w:type="spellStart"/>
      <w:r w:rsidR="00383457">
        <w:t>СЧП</w:t>
      </w:r>
      <w:proofErr w:type="spellEnd"/>
      <w:r w:rsidR="00383457">
        <w:t xml:space="preserve"> </w:t>
      </w:r>
      <w:r>
        <w:t>обязаны руководствоваться Конституцией Российской Федерации, Бюджетным кодексом Российской Федерации</w:t>
      </w:r>
      <w:r w:rsidR="001F1E62">
        <w:t xml:space="preserve"> (далее БК РФ)</w:t>
      </w:r>
      <w:r>
        <w:t>, федеральными законами, иными нормативными правовыми актами Российской Федерации, Областным законо</w:t>
      </w:r>
      <w:r w:rsidR="003617CD">
        <w:t>дательством Свердловской области,</w:t>
      </w:r>
      <w:r w:rsidR="001E5530">
        <w:t xml:space="preserve"> </w:t>
      </w:r>
      <w:r>
        <w:t xml:space="preserve">нормативными правовыми актами </w:t>
      </w:r>
      <w:r w:rsidR="00383457">
        <w:t>городского округа Сухой Лог</w:t>
      </w:r>
      <w:r>
        <w:t>, Регламентом и настоящим Стандартом.</w:t>
      </w:r>
    </w:p>
    <w:p w:rsidR="001365B4" w:rsidRDefault="001365B4" w:rsidP="001E5530">
      <w:pPr>
        <w:spacing w:after="0" w:line="240" w:lineRule="auto"/>
        <w:ind w:firstLine="709"/>
        <w:jc w:val="both"/>
      </w:pPr>
      <w:r>
        <w:t>1.</w:t>
      </w:r>
      <w:r w:rsidR="0009397B">
        <w:t>4</w:t>
      </w:r>
      <w:r>
        <w:t>.</w:t>
      </w:r>
      <w:r>
        <w:tab/>
        <w:t>Внесение изменений и дополнений в настоящий Стандарт оформляется приказом Председателя</w:t>
      </w:r>
      <w:r w:rsidR="00383457">
        <w:t xml:space="preserve"> </w:t>
      </w:r>
      <w:proofErr w:type="spellStart"/>
      <w:r w:rsidR="00383457">
        <w:t>СЧП</w:t>
      </w:r>
      <w:proofErr w:type="spellEnd"/>
      <w:r>
        <w:t xml:space="preserve">. Решение вопросов, не урегулированных настоящим Стандартом, осуществляется Председателем и вводится в действие </w:t>
      </w:r>
      <w:r w:rsidR="00DB6A0E">
        <w:t xml:space="preserve">его </w:t>
      </w:r>
      <w:r>
        <w:t>приказом.</w:t>
      </w:r>
    </w:p>
    <w:p w:rsidR="0009397B" w:rsidRDefault="0009397B" w:rsidP="001E5530">
      <w:pPr>
        <w:spacing w:after="0" w:line="240" w:lineRule="auto"/>
        <w:ind w:firstLine="709"/>
        <w:jc w:val="both"/>
      </w:pPr>
    </w:p>
    <w:p w:rsidR="008B1606" w:rsidRDefault="008B1606" w:rsidP="0009397B">
      <w:pPr>
        <w:spacing w:after="0" w:line="240" w:lineRule="auto"/>
        <w:ind w:firstLine="709"/>
        <w:jc w:val="center"/>
        <w:rPr>
          <w:b/>
        </w:rPr>
      </w:pPr>
    </w:p>
    <w:p w:rsidR="008B1606" w:rsidRDefault="008B1606" w:rsidP="0009397B">
      <w:pPr>
        <w:spacing w:after="0" w:line="240" w:lineRule="auto"/>
        <w:ind w:firstLine="709"/>
        <w:jc w:val="center"/>
        <w:rPr>
          <w:b/>
        </w:rPr>
      </w:pPr>
    </w:p>
    <w:p w:rsidR="0009397B" w:rsidRDefault="00383457" w:rsidP="0009397B">
      <w:pPr>
        <w:spacing w:after="0" w:line="240" w:lineRule="auto"/>
        <w:ind w:firstLine="709"/>
        <w:jc w:val="center"/>
        <w:rPr>
          <w:b/>
        </w:rPr>
      </w:pPr>
      <w:r>
        <w:rPr>
          <w:b/>
        </w:rPr>
        <w:t>2. Цель и задачи С</w:t>
      </w:r>
      <w:r w:rsidR="0009397B" w:rsidRPr="0009397B">
        <w:rPr>
          <w:b/>
        </w:rPr>
        <w:t>тандарта</w:t>
      </w:r>
    </w:p>
    <w:p w:rsidR="0009397B" w:rsidRPr="0009397B" w:rsidRDefault="0009397B" w:rsidP="0009397B">
      <w:pPr>
        <w:spacing w:after="0" w:line="240" w:lineRule="auto"/>
        <w:ind w:firstLine="709"/>
        <w:jc w:val="center"/>
        <w:rPr>
          <w:b/>
        </w:rPr>
      </w:pPr>
    </w:p>
    <w:p w:rsidR="0009397B" w:rsidRDefault="0009397B" w:rsidP="0009397B">
      <w:pPr>
        <w:spacing w:after="0" w:line="240" w:lineRule="auto"/>
        <w:ind w:firstLine="709"/>
        <w:jc w:val="both"/>
      </w:pPr>
      <w:r>
        <w:t>2.1.</w:t>
      </w:r>
      <w:r>
        <w:tab/>
        <w:t xml:space="preserve"> Целью Стандарта является установление единых принципов, правил и процедур проведения экспертизы Проекта решения.</w:t>
      </w:r>
    </w:p>
    <w:p w:rsidR="0009397B" w:rsidRDefault="0009397B" w:rsidP="0009397B">
      <w:pPr>
        <w:spacing w:after="0" w:line="240" w:lineRule="auto"/>
        <w:ind w:firstLine="709"/>
        <w:jc w:val="both"/>
      </w:pPr>
      <w:r>
        <w:t>2.2.</w:t>
      </w:r>
      <w:r>
        <w:tab/>
        <w:t xml:space="preserve"> В число задач, решаемых указанным Стандартом, входит:</w:t>
      </w:r>
    </w:p>
    <w:p w:rsidR="0009397B" w:rsidRDefault="0009397B" w:rsidP="0009397B">
      <w:pPr>
        <w:spacing w:after="0" w:line="240" w:lineRule="auto"/>
        <w:ind w:firstLine="709"/>
        <w:jc w:val="both"/>
      </w:pPr>
      <w:r>
        <w:t>-</w:t>
      </w:r>
      <w:r>
        <w:tab/>
        <w:t xml:space="preserve"> определение структуры, содержания и основных требований к заключению </w:t>
      </w:r>
      <w:proofErr w:type="spellStart"/>
      <w:r w:rsidR="00383457">
        <w:t>СЧП</w:t>
      </w:r>
      <w:proofErr w:type="spellEnd"/>
      <w:r w:rsidR="00383457">
        <w:t xml:space="preserve"> </w:t>
      </w:r>
      <w:r>
        <w:t>на Проект решения;</w:t>
      </w:r>
    </w:p>
    <w:p w:rsidR="0009397B" w:rsidRDefault="0009397B" w:rsidP="0009397B">
      <w:pPr>
        <w:spacing w:after="0" w:line="240" w:lineRule="auto"/>
        <w:ind w:firstLine="709"/>
        <w:jc w:val="both"/>
      </w:pPr>
      <w:r w:rsidRPr="001E5530">
        <w:t>-</w:t>
      </w:r>
      <w:r w:rsidRPr="001E5530">
        <w:tab/>
        <w:t xml:space="preserve"> установление взаимодействия между </w:t>
      </w:r>
      <w:r>
        <w:t>должностными лицами</w:t>
      </w:r>
      <w:r w:rsidRPr="001E5530">
        <w:t xml:space="preserve"> </w:t>
      </w:r>
      <w:proofErr w:type="spellStart"/>
      <w:r w:rsidR="00383457">
        <w:t>СЧП</w:t>
      </w:r>
      <w:proofErr w:type="spellEnd"/>
      <w:r w:rsidR="00383457">
        <w:t xml:space="preserve"> </w:t>
      </w:r>
      <w:r w:rsidRPr="001E5530">
        <w:t xml:space="preserve">в ходе проведения экспертизы </w:t>
      </w:r>
      <w:r>
        <w:t>П</w:t>
      </w:r>
      <w:r w:rsidRPr="001E5530">
        <w:t>роект</w:t>
      </w:r>
      <w:r>
        <w:t>а</w:t>
      </w:r>
      <w:r w:rsidRPr="001E5530">
        <w:t xml:space="preserve"> решения.</w:t>
      </w:r>
    </w:p>
    <w:p w:rsidR="003617CD" w:rsidRDefault="003617CD" w:rsidP="000215D0">
      <w:pPr>
        <w:spacing w:after="0" w:line="240" w:lineRule="auto"/>
        <w:jc w:val="both"/>
      </w:pPr>
    </w:p>
    <w:p w:rsidR="001365B4" w:rsidRDefault="0009397B" w:rsidP="003617CD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3</w:t>
      </w:r>
      <w:r w:rsidR="001365B4" w:rsidRPr="003617CD">
        <w:rPr>
          <w:b/>
        </w:rPr>
        <w:t>.Основы</w:t>
      </w:r>
      <w:proofErr w:type="spellEnd"/>
      <w:r w:rsidR="001365B4" w:rsidRPr="003617CD">
        <w:rPr>
          <w:b/>
        </w:rPr>
        <w:t xml:space="preserve"> проведения экспертизы </w:t>
      </w:r>
    </w:p>
    <w:p w:rsidR="003617CD" w:rsidRPr="003617CD" w:rsidRDefault="003617CD" w:rsidP="003617CD">
      <w:pPr>
        <w:spacing w:after="0" w:line="240" w:lineRule="auto"/>
        <w:jc w:val="center"/>
        <w:rPr>
          <w:b/>
        </w:rPr>
      </w:pPr>
    </w:p>
    <w:p w:rsidR="001365B4" w:rsidRDefault="0009397B" w:rsidP="00CC64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1365B4" w:rsidRPr="00CC6461">
        <w:rPr>
          <w:b/>
        </w:rPr>
        <w:t>.1.</w:t>
      </w:r>
      <w:r w:rsidR="001365B4" w:rsidRPr="00CC6461">
        <w:rPr>
          <w:b/>
        </w:rPr>
        <w:tab/>
        <w:t xml:space="preserve"> Правовые и информационные основы проведения экспертизы </w:t>
      </w:r>
    </w:p>
    <w:p w:rsidR="00620DD5" w:rsidRPr="00CC6461" w:rsidRDefault="00620DD5" w:rsidP="00CC6461">
      <w:pPr>
        <w:spacing w:after="0" w:line="240" w:lineRule="auto"/>
        <w:jc w:val="center"/>
        <w:rPr>
          <w:b/>
        </w:rPr>
      </w:pPr>
    </w:p>
    <w:p w:rsidR="001365B4" w:rsidRDefault="0009397B" w:rsidP="0061793F">
      <w:pPr>
        <w:spacing w:after="0" w:line="240" w:lineRule="auto"/>
        <w:ind w:firstLine="709"/>
        <w:jc w:val="both"/>
      </w:pPr>
      <w:r>
        <w:t>3</w:t>
      </w:r>
      <w:r w:rsidR="001365B4">
        <w:t>.1.1.</w:t>
      </w:r>
      <w:r w:rsidR="001365B4">
        <w:tab/>
        <w:t xml:space="preserve"> Экспертиза </w:t>
      </w:r>
      <w:r w:rsidR="00DB6A0E">
        <w:t>П</w:t>
      </w:r>
      <w:r w:rsidR="003617CD">
        <w:t>роект</w:t>
      </w:r>
      <w:r w:rsidR="00DB6A0E">
        <w:t>а</w:t>
      </w:r>
      <w:r w:rsidR="003617CD">
        <w:t xml:space="preserve"> решения</w:t>
      </w:r>
      <w:r w:rsidR="001365B4">
        <w:t xml:space="preserve"> является формой внешнего </w:t>
      </w:r>
      <w:r w:rsidR="003617CD">
        <w:t>муниципального</w:t>
      </w:r>
      <w:r w:rsidR="001365B4">
        <w:t xml:space="preserve"> финансового контроля, осуществляемого </w:t>
      </w:r>
      <w:proofErr w:type="spellStart"/>
      <w:r w:rsidR="00383457">
        <w:t>СЧП</w:t>
      </w:r>
      <w:proofErr w:type="spellEnd"/>
      <w:r w:rsidR="00383457">
        <w:t xml:space="preserve"> </w:t>
      </w:r>
      <w:r w:rsidR="001365B4">
        <w:t xml:space="preserve">на основании </w:t>
      </w:r>
      <w:r w:rsidR="006E74E5">
        <w:t>подпункта 2 пункта 2 статьи 9  Федерального закона № 6-ФЗ</w:t>
      </w:r>
      <w:r w:rsidR="001365B4">
        <w:t>.</w:t>
      </w:r>
    </w:p>
    <w:p w:rsidR="001365B4" w:rsidRDefault="0009397B" w:rsidP="0061793F">
      <w:pPr>
        <w:spacing w:after="0" w:line="240" w:lineRule="auto"/>
        <w:ind w:firstLine="709"/>
        <w:jc w:val="both"/>
      </w:pPr>
      <w:r>
        <w:t>3</w:t>
      </w:r>
      <w:r w:rsidR="001365B4">
        <w:t>.1.2.</w:t>
      </w:r>
      <w:r w:rsidR="001365B4">
        <w:tab/>
        <w:t xml:space="preserve"> Экспертиза </w:t>
      </w:r>
      <w:r w:rsidR="003A283E">
        <w:t>П</w:t>
      </w:r>
      <w:r w:rsidR="003617CD">
        <w:t>роект</w:t>
      </w:r>
      <w:r w:rsidR="003A283E">
        <w:t>а</w:t>
      </w:r>
      <w:r w:rsidR="003617CD">
        <w:t xml:space="preserve"> решения</w:t>
      </w:r>
      <w:r w:rsidR="001365B4">
        <w:t xml:space="preserve"> состоит из анализа обоснованности его показателей и подготовки заключения, а также участия </w:t>
      </w:r>
      <w:proofErr w:type="spellStart"/>
      <w:r w:rsidR="00383457">
        <w:t>СЧП</w:t>
      </w:r>
      <w:proofErr w:type="spellEnd"/>
      <w:r w:rsidR="00383457">
        <w:t xml:space="preserve"> </w:t>
      </w:r>
      <w:r w:rsidR="001365B4">
        <w:t xml:space="preserve"> в рассмотрении </w:t>
      </w:r>
      <w:r w:rsidR="003617CD">
        <w:t>проект</w:t>
      </w:r>
      <w:r w:rsidR="006E74E5">
        <w:t>а</w:t>
      </w:r>
      <w:r w:rsidR="003617CD">
        <w:t xml:space="preserve"> решения</w:t>
      </w:r>
      <w:r w:rsidR="001365B4">
        <w:t xml:space="preserve"> </w:t>
      </w:r>
      <w:r w:rsidR="006E74E5">
        <w:t>Думой</w:t>
      </w:r>
      <w:r w:rsidR="00F22B97">
        <w:t xml:space="preserve"> городского округа (далее Дума)</w:t>
      </w:r>
      <w:r w:rsidR="001365B4">
        <w:t>.</w:t>
      </w:r>
    </w:p>
    <w:p w:rsidR="001365B4" w:rsidRDefault="0009397B" w:rsidP="0061793F">
      <w:pPr>
        <w:spacing w:after="0" w:line="240" w:lineRule="auto"/>
        <w:ind w:firstLine="709"/>
        <w:jc w:val="both"/>
      </w:pPr>
      <w:r>
        <w:t>3</w:t>
      </w:r>
      <w:r w:rsidR="001365B4">
        <w:t>.1.3.</w:t>
      </w:r>
      <w:r w:rsidR="001365B4">
        <w:tab/>
        <w:t xml:space="preserve"> Целью экспертизы </w:t>
      </w:r>
      <w:r w:rsidR="003A283E">
        <w:t>П</w:t>
      </w:r>
      <w:r w:rsidR="003617CD">
        <w:t>роект</w:t>
      </w:r>
      <w:r w:rsidR="00DB6A0E">
        <w:t>а</w:t>
      </w:r>
      <w:r w:rsidR="003617CD">
        <w:t xml:space="preserve"> решения</w:t>
      </w:r>
      <w:r w:rsidR="001365B4">
        <w:t xml:space="preserve"> является определение обоснованности показателей его формирования.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>Задачами экспертизы являются:</w:t>
      </w:r>
    </w:p>
    <w:p w:rsidR="001365B4" w:rsidRPr="00383457" w:rsidRDefault="001365B4" w:rsidP="0061793F">
      <w:pPr>
        <w:spacing w:after="0" w:line="240" w:lineRule="auto"/>
        <w:ind w:firstLine="709"/>
        <w:jc w:val="both"/>
      </w:pPr>
      <w:r>
        <w:t xml:space="preserve">определение соответствия действующему законодательству </w:t>
      </w:r>
      <w:r w:rsidR="003A283E">
        <w:t>П</w:t>
      </w:r>
      <w:r w:rsidR="003617CD">
        <w:t>роект</w:t>
      </w:r>
      <w:r w:rsidR="006E74E5">
        <w:t>а</w:t>
      </w:r>
      <w:r w:rsidR="003617CD">
        <w:t xml:space="preserve"> решения</w:t>
      </w:r>
      <w:r>
        <w:t xml:space="preserve">, а также документов и материалов, представляемых одновременно с </w:t>
      </w:r>
      <w:r w:rsidRPr="00383457">
        <w:t xml:space="preserve">ним в </w:t>
      </w:r>
      <w:r w:rsidR="006E74E5" w:rsidRPr="00383457">
        <w:t>Думу</w:t>
      </w:r>
      <w:r w:rsidRPr="00383457">
        <w:t>;</w:t>
      </w:r>
    </w:p>
    <w:p w:rsidR="001365B4" w:rsidRPr="00383457" w:rsidRDefault="001365B4" w:rsidP="0061793F">
      <w:pPr>
        <w:spacing w:after="0" w:line="240" w:lineRule="auto"/>
        <w:ind w:firstLine="709"/>
        <w:jc w:val="both"/>
      </w:pPr>
      <w:r w:rsidRPr="00383457">
        <w:t xml:space="preserve">определение обоснованности показателей, содержащихся в </w:t>
      </w:r>
      <w:r w:rsidR="003A283E" w:rsidRPr="00383457">
        <w:t>П</w:t>
      </w:r>
      <w:r w:rsidR="003617CD" w:rsidRPr="00383457">
        <w:t>роект</w:t>
      </w:r>
      <w:r w:rsidR="006E74E5" w:rsidRPr="00383457">
        <w:t>е</w:t>
      </w:r>
      <w:r w:rsidR="003617CD" w:rsidRPr="00383457">
        <w:t xml:space="preserve"> решения</w:t>
      </w:r>
      <w:r w:rsidRPr="00383457">
        <w:t xml:space="preserve">, документах и материалах, представляемых одновременно с ним в </w:t>
      </w:r>
      <w:r w:rsidR="006E74E5" w:rsidRPr="00383457">
        <w:t>Думу</w:t>
      </w:r>
      <w:r w:rsidRPr="00383457">
        <w:t>;</w:t>
      </w:r>
    </w:p>
    <w:p w:rsidR="001365B4" w:rsidRPr="00383457" w:rsidRDefault="001365B4" w:rsidP="0061793F">
      <w:pPr>
        <w:spacing w:after="0" w:line="240" w:lineRule="auto"/>
        <w:ind w:firstLine="709"/>
        <w:jc w:val="both"/>
      </w:pPr>
      <w:r w:rsidRPr="00383457">
        <w:t xml:space="preserve">оценка </w:t>
      </w:r>
      <w:r w:rsidR="003A283E" w:rsidRPr="00383457">
        <w:t>П</w:t>
      </w:r>
      <w:r w:rsidR="003617CD" w:rsidRPr="00383457">
        <w:t>роект</w:t>
      </w:r>
      <w:r w:rsidR="006E74E5" w:rsidRPr="00383457">
        <w:t>а</w:t>
      </w:r>
      <w:r w:rsidR="003617CD" w:rsidRPr="00383457">
        <w:t xml:space="preserve"> решения</w:t>
      </w:r>
      <w:r w:rsidRPr="00383457">
        <w:t xml:space="preserve"> как инструмента социально-экономической политики, его соответствия положениям Бюджетного послания Президента Российской Федерации,</w:t>
      </w:r>
      <w:r w:rsidR="000E6EF8" w:rsidRPr="00383457">
        <w:t xml:space="preserve"> Губернатора Свердловской области и </w:t>
      </w:r>
      <w:r w:rsidR="00383457">
        <w:t>Г</w:t>
      </w:r>
      <w:r w:rsidR="000E6EF8" w:rsidRPr="00383457">
        <w:t>лавы городского округа</w:t>
      </w:r>
      <w:r w:rsidR="00383457">
        <w:t xml:space="preserve"> Сухой Лог</w:t>
      </w:r>
      <w:r w:rsidR="000E6EF8" w:rsidRPr="00383457">
        <w:t>,</w:t>
      </w:r>
      <w:r w:rsidRPr="00383457">
        <w:t xml:space="preserve"> прогнозу социально-экономического развития на очередной финансовый год и плановый период.</w:t>
      </w:r>
    </w:p>
    <w:p w:rsidR="001365B4" w:rsidRPr="00383457" w:rsidRDefault="0009397B" w:rsidP="0061793F">
      <w:pPr>
        <w:spacing w:after="0" w:line="240" w:lineRule="auto"/>
        <w:ind w:firstLine="709"/>
        <w:jc w:val="both"/>
      </w:pPr>
      <w:r w:rsidRPr="00383457">
        <w:t>3</w:t>
      </w:r>
      <w:r w:rsidR="001365B4" w:rsidRPr="00383457">
        <w:t>.1.4.</w:t>
      </w:r>
      <w:r w:rsidR="001365B4" w:rsidRPr="00383457">
        <w:tab/>
        <w:t xml:space="preserve"> Предметом экспертизы являются </w:t>
      </w:r>
      <w:r w:rsidR="003A283E" w:rsidRPr="00383457">
        <w:t>П</w:t>
      </w:r>
      <w:r w:rsidR="003617CD" w:rsidRPr="00383457">
        <w:t>роект решения</w:t>
      </w:r>
      <w:r w:rsidR="001365B4" w:rsidRPr="00383457">
        <w:t xml:space="preserve">, а также документы и материалы, представляемые одновременно с </w:t>
      </w:r>
      <w:r w:rsidR="003617CD" w:rsidRPr="00383457">
        <w:t>проект</w:t>
      </w:r>
      <w:r w:rsidR="008F4211" w:rsidRPr="00383457">
        <w:t>ом</w:t>
      </w:r>
      <w:r w:rsidR="003617CD" w:rsidRPr="00383457">
        <w:t xml:space="preserve"> решения</w:t>
      </w:r>
      <w:r w:rsidR="001365B4" w:rsidRPr="00383457">
        <w:t xml:space="preserve"> в </w:t>
      </w:r>
      <w:r w:rsidR="006E74E5" w:rsidRPr="00383457">
        <w:t>Думу</w:t>
      </w:r>
      <w:r w:rsidR="001365B4" w:rsidRPr="00383457">
        <w:t>.</w:t>
      </w:r>
    </w:p>
    <w:p w:rsidR="001365B4" w:rsidRDefault="0009397B" w:rsidP="0061793F">
      <w:pPr>
        <w:spacing w:after="0" w:line="240" w:lineRule="auto"/>
        <w:ind w:firstLine="709"/>
        <w:jc w:val="both"/>
      </w:pPr>
      <w:r w:rsidRPr="00383457">
        <w:t>3</w:t>
      </w:r>
      <w:r w:rsidR="001365B4" w:rsidRPr="00383457">
        <w:t>.1.5.</w:t>
      </w:r>
      <w:r w:rsidR="001365B4" w:rsidRPr="00383457">
        <w:tab/>
        <w:t xml:space="preserve"> При осуществлении экспертизы должно быть проверено и проанализировано соответствие </w:t>
      </w:r>
      <w:r w:rsidR="003A283E" w:rsidRPr="00383457">
        <w:t>П</w:t>
      </w:r>
      <w:r w:rsidR="003617CD" w:rsidRPr="00383457">
        <w:t>роект</w:t>
      </w:r>
      <w:r w:rsidR="008F4211" w:rsidRPr="00383457">
        <w:t>а</w:t>
      </w:r>
      <w:r w:rsidR="003617CD" w:rsidRPr="00383457">
        <w:t xml:space="preserve"> решения</w:t>
      </w:r>
      <w:r w:rsidR="001365B4" w:rsidRPr="00383457">
        <w:t xml:space="preserve"> и документов, представляемых одновременно с ним в </w:t>
      </w:r>
      <w:r w:rsidR="006E74E5" w:rsidRPr="00383457">
        <w:t>Думу</w:t>
      </w:r>
      <w:r w:rsidR="001365B4" w:rsidRPr="00383457">
        <w:t xml:space="preserve">, положениям </w:t>
      </w:r>
      <w:r w:rsidR="001F1E62">
        <w:t xml:space="preserve">БК РФ </w:t>
      </w:r>
      <w:r w:rsidR="001365B4" w:rsidRPr="00383457">
        <w:t xml:space="preserve">и </w:t>
      </w:r>
      <w:r w:rsidR="00F22B97">
        <w:t xml:space="preserve">Положению о </w:t>
      </w:r>
      <w:r w:rsidR="001365B4" w:rsidRPr="00383457">
        <w:t>бюджетном процессе, в том</w:t>
      </w:r>
      <w:r w:rsidR="001365B4">
        <w:t xml:space="preserve"> числе: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соблюдение порядка составления </w:t>
      </w:r>
      <w:r w:rsidR="003A283E">
        <w:t>П</w:t>
      </w:r>
      <w:r w:rsidR="003617CD">
        <w:t>роект</w:t>
      </w:r>
      <w:r w:rsidR="003A283E">
        <w:t>а</w:t>
      </w:r>
      <w:r w:rsidR="003617CD">
        <w:t xml:space="preserve"> решения</w:t>
      </w:r>
      <w:r>
        <w:t xml:space="preserve">, определенного в статьях 169, 170, 171, 172, 173, </w:t>
      </w:r>
      <w:r w:rsidR="008F4211">
        <w:t xml:space="preserve">174, </w:t>
      </w:r>
      <w:r>
        <w:t>174</w:t>
      </w:r>
      <w:r w:rsidR="008F4211">
        <w:t>.</w:t>
      </w:r>
      <w:r>
        <w:t>1, 174</w:t>
      </w:r>
      <w:r w:rsidR="008F4211">
        <w:t>.</w:t>
      </w:r>
      <w:r>
        <w:t xml:space="preserve">2, 184 </w:t>
      </w:r>
      <w:r w:rsidR="001F1E62">
        <w:t>БК РФ</w:t>
      </w:r>
      <w:r w:rsidR="008F4211">
        <w:t xml:space="preserve">, </w:t>
      </w:r>
      <w:r w:rsidR="00F22B97">
        <w:t>Положении о бюджетном процессе</w:t>
      </w:r>
      <w:r>
        <w:t>;</w:t>
      </w:r>
      <w:r w:rsidR="008F4211">
        <w:t xml:space="preserve"> 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lastRenderedPageBreak/>
        <w:t xml:space="preserve">соблюдение требований к основным характеристикам </w:t>
      </w:r>
      <w:r w:rsidR="00F22B97">
        <w:t>бюджета городского округа</w:t>
      </w:r>
      <w:r>
        <w:t xml:space="preserve">, составу показателей, устанавливаемых в </w:t>
      </w:r>
      <w:r w:rsidR="003A283E">
        <w:t>П</w:t>
      </w:r>
      <w:r w:rsidR="003617CD">
        <w:t>роект</w:t>
      </w:r>
      <w:r w:rsidR="008F4211">
        <w:t>е</w:t>
      </w:r>
      <w:r w:rsidR="003617CD">
        <w:t xml:space="preserve"> решения</w:t>
      </w:r>
      <w:r>
        <w:t xml:space="preserve"> в соответствии со статьей 184</w:t>
      </w:r>
      <w:r w:rsidR="008F4211">
        <w:t>.</w:t>
      </w:r>
      <w:r>
        <w:t xml:space="preserve">1 </w:t>
      </w:r>
      <w:r w:rsidR="001F1E62">
        <w:t>БК РФ</w:t>
      </w:r>
      <w:r>
        <w:t>;</w:t>
      </w:r>
    </w:p>
    <w:p w:rsidR="002C117D" w:rsidRDefault="001365B4" w:rsidP="0061793F">
      <w:pPr>
        <w:spacing w:after="0" w:line="240" w:lineRule="auto"/>
        <w:ind w:firstLine="709"/>
        <w:jc w:val="both"/>
      </w:pPr>
      <w:r>
        <w:t xml:space="preserve">соблюдение требований к составу документов и материалов и состава показателей, представляемых одновременно с </w:t>
      </w:r>
      <w:r w:rsidR="003A283E">
        <w:t>П</w:t>
      </w:r>
      <w:r w:rsidR="003617CD">
        <w:t>роект</w:t>
      </w:r>
      <w:r w:rsidR="00D302A4">
        <w:t>ом</w:t>
      </w:r>
      <w:r w:rsidR="003617CD">
        <w:t xml:space="preserve"> решения</w:t>
      </w:r>
      <w:r>
        <w:t xml:space="preserve"> в соответствии со статьей 184</w:t>
      </w:r>
      <w:r w:rsidR="0094375E">
        <w:t>.</w:t>
      </w:r>
      <w:r>
        <w:t xml:space="preserve">2 </w:t>
      </w:r>
      <w:r w:rsidR="001F1E62">
        <w:t>БК РФ</w:t>
      </w:r>
      <w:r>
        <w:t>.</w:t>
      </w:r>
    </w:p>
    <w:p w:rsidR="001365B4" w:rsidRDefault="0009397B" w:rsidP="0061793F">
      <w:pPr>
        <w:spacing w:after="0" w:line="240" w:lineRule="auto"/>
        <w:ind w:firstLine="709"/>
        <w:jc w:val="both"/>
      </w:pPr>
      <w:r>
        <w:t>3</w:t>
      </w:r>
      <w:r w:rsidR="001365B4">
        <w:t>.1.5.1.</w:t>
      </w:r>
      <w:r w:rsidR="001365B4">
        <w:tab/>
        <w:t xml:space="preserve">При оценке и анализе доходов </w:t>
      </w:r>
      <w:r w:rsidR="007B71A8">
        <w:t>бюджета</w:t>
      </w:r>
      <w:r w:rsidR="00EA2DAA" w:rsidRPr="00EA2DAA">
        <w:t xml:space="preserve"> </w:t>
      </w:r>
      <w:r w:rsidR="00F22B97">
        <w:t xml:space="preserve">городского округа </w:t>
      </w:r>
      <w:r w:rsidR="00EA2DAA">
        <w:t>анализируются</w:t>
      </w:r>
      <w:r w:rsidR="001365B4">
        <w:t>: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соблюдение требований статьи </w:t>
      </w:r>
      <w:r w:rsidR="00D302A4">
        <w:t>64</w:t>
      </w:r>
      <w:r>
        <w:t xml:space="preserve"> </w:t>
      </w:r>
      <w:r w:rsidR="001F1E62">
        <w:t>БК РФ</w:t>
      </w:r>
      <w:r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порядок зачисления доходов в бюджет, налоговые и неналоговые доходы </w:t>
      </w:r>
      <w:r w:rsidR="00D302A4">
        <w:t>местного</w:t>
      </w:r>
      <w:r>
        <w:t xml:space="preserve"> бюджета, определенны</w:t>
      </w:r>
      <w:r w:rsidR="000E6EF8">
        <w:t>й</w:t>
      </w:r>
      <w:r w:rsidR="00D302A4">
        <w:t xml:space="preserve"> глав</w:t>
      </w:r>
      <w:r w:rsidR="000E6EF8">
        <w:t>ой</w:t>
      </w:r>
      <w:r w:rsidR="00D302A4">
        <w:t xml:space="preserve"> 9</w:t>
      </w:r>
      <w:r>
        <w:t xml:space="preserve"> </w:t>
      </w:r>
      <w:r w:rsidR="001F1E62">
        <w:t>БК РФ</w:t>
      </w:r>
      <w:r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доходы </w:t>
      </w:r>
      <w:r w:rsidR="00D302A4">
        <w:t>местного</w:t>
      </w:r>
      <w:r>
        <w:t xml:space="preserve"> бюджета на очередной финансовый год и плановый период по группам, подгруппам, статьям, подстатьям классификации доходов бюджетов Российской Федерации.</w:t>
      </w:r>
    </w:p>
    <w:p w:rsidR="001365B4" w:rsidRDefault="0009397B" w:rsidP="0061793F">
      <w:pPr>
        <w:spacing w:after="0" w:line="240" w:lineRule="auto"/>
        <w:ind w:firstLine="709"/>
        <w:jc w:val="both"/>
      </w:pPr>
      <w:r>
        <w:t>3</w:t>
      </w:r>
      <w:r w:rsidR="001365B4">
        <w:t>.1.5.2.</w:t>
      </w:r>
      <w:r w:rsidR="001365B4">
        <w:tab/>
        <w:t xml:space="preserve"> При оценке и анализе расходов бюджета</w:t>
      </w:r>
      <w:r w:rsidR="00EA2DAA">
        <w:t xml:space="preserve"> </w:t>
      </w:r>
      <w:r w:rsidR="00F22B97">
        <w:t xml:space="preserve">городского округа </w:t>
      </w:r>
      <w:r w:rsidR="00EA2DAA" w:rsidRPr="00EA2DAA">
        <w:t>анализируются</w:t>
      </w:r>
      <w:r w:rsidR="001365B4">
        <w:t>: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соблюдение положений формирования расходов бюджетов, установленных в статье 65 </w:t>
      </w:r>
      <w:r w:rsidR="001F1E62">
        <w:t>БК РФ</w:t>
      </w:r>
      <w:r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расходы </w:t>
      </w:r>
      <w:r w:rsidR="007B71A8">
        <w:t>местного бюджета</w:t>
      </w:r>
      <w:r>
        <w:t xml:space="preserve"> на очередной финансовый год и плановый период по разделам, подразделам, целевым статьям и видам </w:t>
      </w:r>
      <w:proofErr w:type="gramStart"/>
      <w:r>
        <w:t>расходов классификации расходов бюджетов Российской Федерации</w:t>
      </w:r>
      <w:proofErr w:type="gramEnd"/>
      <w:r>
        <w:t xml:space="preserve"> на очередной финансовый год и плановый период в ведомственной структуре расходов;</w:t>
      </w:r>
    </w:p>
    <w:p w:rsidR="001365B4" w:rsidRDefault="00EA2DAA" w:rsidP="0061793F">
      <w:pPr>
        <w:spacing w:after="0" w:line="240" w:lineRule="auto"/>
        <w:ind w:firstLine="709"/>
        <w:jc w:val="both"/>
      </w:pPr>
      <w:r>
        <w:t>3</w:t>
      </w:r>
      <w:r w:rsidR="001365B4">
        <w:t>.1.5.3.</w:t>
      </w:r>
      <w:r w:rsidR="001365B4">
        <w:tab/>
        <w:t xml:space="preserve"> При оценке и анализе источников финансирования дефицита </w:t>
      </w:r>
      <w:r w:rsidR="007B71A8">
        <w:t>местного</w:t>
      </w:r>
      <w:r w:rsidR="001365B4">
        <w:t xml:space="preserve"> бюджета, </w:t>
      </w:r>
      <w:r w:rsidR="00B15130">
        <w:t>муниципаль</w:t>
      </w:r>
      <w:r w:rsidR="001365B4">
        <w:t>ного долга отра</w:t>
      </w:r>
      <w:r>
        <w:t>жается</w:t>
      </w:r>
      <w:r w:rsidR="001365B4">
        <w:t xml:space="preserve"> соблюдение требований следующих статей </w:t>
      </w:r>
      <w:r w:rsidR="001F1E62">
        <w:t>БК РФ</w:t>
      </w:r>
      <w:r w:rsidR="001365B4">
        <w:t>:</w:t>
      </w:r>
    </w:p>
    <w:p w:rsidR="001365B4" w:rsidRDefault="001365B4" w:rsidP="0061793F">
      <w:pPr>
        <w:spacing w:after="0" w:line="240" w:lineRule="auto"/>
        <w:ind w:firstLine="709"/>
        <w:jc w:val="both"/>
      </w:pPr>
      <w:proofErr w:type="gramStart"/>
      <w:r>
        <w:t xml:space="preserve">статьи 32 по полноте отражения источников финансирования дефицита </w:t>
      </w:r>
      <w:r w:rsidR="007B71A8">
        <w:t>местного бюджета</w:t>
      </w:r>
      <w:r>
        <w:t>, статьи 92</w:t>
      </w:r>
      <w:r w:rsidR="007B71A8">
        <w:t>.</w:t>
      </w:r>
      <w:r>
        <w:t xml:space="preserve">1 по установлению размера дефицита </w:t>
      </w:r>
      <w:r w:rsidR="007B71A8">
        <w:t>местного бюджета</w:t>
      </w:r>
      <w:r>
        <w:t xml:space="preserve"> и ограничения по источникам его финансирования, статьи 93</w:t>
      </w:r>
      <w:r w:rsidR="007B71A8">
        <w:t>.</w:t>
      </w:r>
      <w:r>
        <w:t xml:space="preserve">1 по зачислению средств от продажи акций и иных форм участия в капитале, находящихся в </w:t>
      </w:r>
      <w:r w:rsidR="007B71A8">
        <w:t>муниципаль</w:t>
      </w:r>
      <w:r>
        <w:t>ной собственности, статьи 9</w:t>
      </w:r>
      <w:r w:rsidR="00B15130">
        <w:t>6</w:t>
      </w:r>
      <w:r>
        <w:t xml:space="preserve"> по составу источников финансирования дефицита </w:t>
      </w:r>
      <w:r w:rsidR="007B71A8">
        <w:t>местного бюджета</w:t>
      </w:r>
      <w:r>
        <w:t xml:space="preserve"> и утверждению их в </w:t>
      </w:r>
      <w:r w:rsidR="003617CD">
        <w:t>проект</w:t>
      </w:r>
      <w:r w:rsidR="007B71A8">
        <w:t>е</w:t>
      </w:r>
      <w:r w:rsidR="003617CD">
        <w:t xml:space="preserve"> решения</w:t>
      </w:r>
      <w:r>
        <w:t>;</w:t>
      </w:r>
      <w:proofErr w:type="gramEnd"/>
    </w:p>
    <w:p w:rsidR="001365B4" w:rsidRDefault="001365B4" w:rsidP="0061793F">
      <w:pPr>
        <w:spacing w:after="0" w:line="240" w:lineRule="auto"/>
        <w:ind w:firstLine="709"/>
        <w:jc w:val="both"/>
      </w:pPr>
      <w:proofErr w:type="gramStart"/>
      <w:r>
        <w:t xml:space="preserve">статьи </w:t>
      </w:r>
      <w:r w:rsidR="007B71A8">
        <w:t>100</w:t>
      </w:r>
      <w:r>
        <w:t xml:space="preserve"> по структуре </w:t>
      </w:r>
      <w:r w:rsidR="007B71A8">
        <w:t>муниципального</w:t>
      </w:r>
      <w:r>
        <w:t xml:space="preserve"> долга, видам и срочности долговых обязательств </w:t>
      </w:r>
      <w:r w:rsidR="007B71A8">
        <w:t>муниципального образования</w:t>
      </w:r>
      <w:r>
        <w:t xml:space="preserve">, статьи </w:t>
      </w:r>
      <w:r w:rsidR="007B71A8">
        <w:t>100.</w:t>
      </w:r>
      <w:r>
        <w:t xml:space="preserve">1 по прекращению долговых обязательств </w:t>
      </w:r>
      <w:r w:rsidR="007B71A8">
        <w:t>муниципальных образований</w:t>
      </w:r>
      <w:r>
        <w:t xml:space="preserve">, выраженных в валюте Российской Федерации, и их списанию с </w:t>
      </w:r>
      <w:r w:rsidR="00EA79B5">
        <w:t>муниципаль</w:t>
      </w:r>
      <w:r>
        <w:t xml:space="preserve">ного долга, статей 101 и 102 по управлению </w:t>
      </w:r>
      <w:r w:rsidR="00EA79B5">
        <w:t>муниципальн</w:t>
      </w:r>
      <w:r>
        <w:t xml:space="preserve">ым долгом и соблюдению ответственности по долговым обязательствам </w:t>
      </w:r>
      <w:r w:rsidR="00EA79B5">
        <w:t>муниципального образования</w:t>
      </w:r>
      <w:r>
        <w:t>, статей 103, статьи 105 по реструктуризации долга, статей 106, 107 по предельному</w:t>
      </w:r>
      <w:proofErr w:type="gramEnd"/>
      <w:r>
        <w:t xml:space="preserve"> объему заимствований </w:t>
      </w:r>
      <w:r w:rsidR="00830496">
        <w:t>муниципальных образований</w:t>
      </w:r>
      <w:r>
        <w:t xml:space="preserve">, предельному объему </w:t>
      </w:r>
      <w:r w:rsidR="00830496">
        <w:t>муниципального</w:t>
      </w:r>
      <w:r>
        <w:t xml:space="preserve"> долга, статей  110</w:t>
      </w:r>
      <w:r w:rsidR="00830496">
        <w:t>.</w:t>
      </w:r>
      <w:r>
        <w:t>1, 110</w:t>
      </w:r>
      <w:r w:rsidR="00830496">
        <w:t>.</w:t>
      </w:r>
      <w:r>
        <w:t xml:space="preserve">2 по программам </w:t>
      </w:r>
      <w:r w:rsidR="00830496">
        <w:t>муниципальных заимствований и муниципальных гарантий</w:t>
      </w:r>
      <w:r>
        <w:t xml:space="preserve">, статьи 111 по предельному объему расходов на обслуживание </w:t>
      </w:r>
      <w:r w:rsidR="00830496">
        <w:t>муниципального долга</w:t>
      </w:r>
      <w:r>
        <w:t>, статей 113, 114, 115, 115</w:t>
      </w:r>
      <w:r w:rsidR="00830496">
        <w:t>.</w:t>
      </w:r>
      <w:r>
        <w:t>1, 115</w:t>
      </w:r>
      <w:r w:rsidR="00830496">
        <w:t>.</w:t>
      </w:r>
      <w:r>
        <w:t xml:space="preserve">2, 117 </w:t>
      </w:r>
      <w:r w:rsidR="001F1E62">
        <w:t>БК РФ</w:t>
      </w:r>
      <w:r>
        <w:t>.</w:t>
      </w:r>
    </w:p>
    <w:p w:rsidR="001365B4" w:rsidRDefault="00EA2DAA" w:rsidP="0061793F">
      <w:pPr>
        <w:spacing w:after="0" w:line="240" w:lineRule="auto"/>
        <w:ind w:firstLine="709"/>
        <w:jc w:val="both"/>
      </w:pPr>
      <w:r>
        <w:lastRenderedPageBreak/>
        <w:t>3</w:t>
      </w:r>
      <w:r w:rsidR="001365B4">
        <w:t>.1.6.</w:t>
      </w:r>
      <w:r w:rsidR="001365B4">
        <w:tab/>
        <w:t>Информационной основой осуществления экспертизы являются: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>нормативные правовые акты, регулирующие бюджетные правоотношения;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показатели прогноза социально-экономического развития </w:t>
      </w:r>
      <w:r w:rsidR="001F1E62">
        <w:t xml:space="preserve">городского округа Сухой Лог </w:t>
      </w:r>
      <w:r>
        <w:t>на очередной финансовый год и плановый период;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предварительные итоги социально-экономического развития </w:t>
      </w:r>
      <w:r w:rsidR="001F1E62">
        <w:t xml:space="preserve">городского округа Сухой Лог </w:t>
      </w:r>
      <w:r>
        <w:t>за истекший период текущего финансового года;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основные направления бюджетной и налоговой политики </w:t>
      </w:r>
      <w:r w:rsidR="001F1E62">
        <w:t xml:space="preserve">городского округа Сухой Лог </w:t>
      </w:r>
      <w:r>
        <w:t>на очередной финансовый год и плановый период;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оценка ожидаемого исполнения </w:t>
      </w:r>
      <w:r w:rsidR="007B71A8">
        <w:t>местного бюджета</w:t>
      </w:r>
      <w:r>
        <w:t xml:space="preserve"> за текущий финансовый год;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проект прогнозного плана (программы) приватизации </w:t>
      </w:r>
      <w:r w:rsidR="00830496">
        <w:t>муниципального имущества</w:t>
      </w:r>
      <w:r>
        <w:t xml:space="preserve"> на очередной финансовый год и плановый период;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текстовые статьи </w:t>
      </w:r>
      <w:r w:rsidR="003A283E">
        <w:t>П</w:t>
      </w:r>
      <w:r w:rsidR="003617CD">
        <w:t>роект</w:t>
      </w:r>
      <w:r w:rsidR="0061793F">
        <w:t>а</w:t>
      </w:r>
      <w:r w:rsidR="003617CD">
        <w:t xml:space="preserve"> решения</w:t>
      </w:r>
      <w:r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верхний предел </w:t>
      </w:r>
      <w:r w:rsidR="00830496">
        <w:t>муниципального долга</w:t>
      </w:r>
      <w:r>
        <w:t xml:space="preserve"> на конец очередного финансового года и каждого года планового периода;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расчеты по статьям классификации доходов </w:t>
      </w:r>
      <w:r w:rsidR="007B71A8">
        <w:t>местного бюджета</w:t>
      </w:r>
      <w:r>
        <w:t xml:space="preserve">, разделам и подразделам функциональной классификации расходов и источников финансирования дефицита </w:t>
      </w:r>
      <w:r w:rsidR="007B71A8">
        <w:t>местного бюджета</w:t>
      </w:r>
      <w:r>
        <w:t xml:space="preserve"> на очередной финансовый год и плановый период;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перечень публичных нормативных обязательств, подлежащих исполнению за счет средств </w:t>
      </w:r>
      <w:r w:rsidR="007B71A8">
        <w:t>местного бюджета</w:t>
      </w:r>
      <w:r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пояснительная записка к </w:t>
      </w:r>
      <w:r w:rsidR="001C14A2">
        <w:t>П</w:t>
      </w:r>
      <w:r w:rsidR="003617CD">
        <w:t>роект</w:t>
      </w:r>
      <w:r w:rsidR="00830496">
        <w:t>у</w:t>
      </w:r>
      <w:r w:rsidR="003617CD">
        <w:t xml:space="preserve"> решения</w:t>
      </w:r>
      <w:r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приложения к </w:t>
      </w:r>
      <w:r w:rsidR="001C14A2">
        <w:t>П</w:t>
      </w:r>
      <w:r w:rsidR="003617CD">
        <w:t>роект</w:t>
      </w:r>
      <w:r w:rsidR="00830496">
        <w:t>у</w:t>
      </w:r>
      <w:r w:rsidR="003617CD">
        <w:t xml:space="preserve"> решения</w:t>
      </w:r>
      <w:r>
        <w:t xml:space="preserve"> на очередной финансовый год и плановый период;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правовые акты </w:t>
      </w:r>
      <w:r w:rsidR="001F1E62">
        <w:t>А</w:t>
      </w:r>
      <w:r w:rsidR="00830496">
        <w:t xml:space="preserve">дминистрации </w:t>
      </w:r>
      <w:r w:rsidR="001F1E62">
        <w:t xml:space="preserve">городского округа Сухой Лог </w:t>
      </w:r>
      <w:r>
        <w:t xml:space="preserve">об утверждении </w:t>
      </w:r>
      <w:r w:rsidR="00830496">
        <w:t>муниципальных</w:t>
      </w:r>
      <w:r>
        <w:t xml:space="preserve"> </w:t>
      </w:r>
      <w:r w:rsidR="00F6601D">
        <w:t>пр</w:t>
      </w:r>
      <w:r>
        <w:t>ограмм;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>результаты</w:t>
      </w:r>
      <w:r w:rsidR="00775FF7">
        <w:t xml:space="preserve"> </w:t>
      </w:r>
      <w:r>
        <w:t xml:space="preserve"> </w:t>
      </w:r>
      <w:r w:rsidR="00EA2DAA">
        <w:t>контрольных и экспертно-аналитических мероприятий</w:t>
      </w:r>
      <w:r>
        <w:t xml:space="preserve"> </w:t>
      </w:r>
      <w:proofErr w:type="spellStart"/>
      <w:r w:rsidR="00F6601D">
        <w:t>СЧП</w:t>
      </w:r>
      <w:proofErr w:type="spellEnd"/>
      <w:r>
        <w:t>;</w:t>
      </w:r>
    </w:p>
    <w:p w:rsidR="001365B4" w:rsidRDefault="00775FF7" w:rsidP="0061793F">
      <w:pPr>
        <w:spacing w:after="0" w:line="240" w:lineRule="auto"/>
        <w:ind w:firstLine="709"/>
        <w:jc w:val="both"/>
      </w:pPr>
      <w:r>
        <w:t>результаты экспертизы</w:t>
      </w:r>
      <w:r w:rsidR="001365B4">
        <w:t xml:space="preserve"> </w:t>
      </w:r>
      <w:proofErr w:type="spellStart"/>
      <w:r w:rsidR="00F6601D">
        <w:t>СЧП</w:t>
      </w:r>
      <w:proofErr w:type="spellEnd"/>
      <w:r w:rsidR="00F6601D">
        <w:t xml:space="preserve"> </w:t>
      </w:r>
      <w:r w:rsidR="001365B4">
        <w:t xml:space="preserve">на проекты </w:t>
      </w:r>
      <w:r w:rsidR="00EA2DAA">
        <w:t>нормативных правовых актов</w:t>
      </w:r>
      <w:r w:rsidR="001365B4">
        <w:t>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>статистические данные за отчетные годы и за истекший период текущего года;</w:t>
      </w:r>
    </w:p>
    <w:p w:rsidR="001365B4" w:rsidRDefault="001365B4" w:rsidP="0061793F">
      <w:pPr>
        <w:spacing w:after="0" w:line="240" w:lineRule="auto"/>
        <w:ind w:firstLine="709"/>
        <w:jc w:val="both"/>
      </w:pPr>
      <w:r>
        <w:t xml:space="preserve">иная информация по расчетам субъектов бюджетного планирования, администраторов доходов </w:t>
      </w:r>
      <w:r w:rsidR="007B71A8">
        <w:t>местного бюджета</w:t>
      </w:r>
      <w:r>
        <w:t xml:space="preserve">, главных распорядителей средств </w:t>
      </w:r>
      <w:r w:rsidR="007B71A8">
        <w:t>местного бюджета</w:t>
      </w:r>
      <w:r>
        <w:t xml:space="preserve"> и иных участников бюджетного процесса по вопросам формирования </w:t>
      </w:r>
      <w:r w:rsidR="007B71A8">
        <w:t>местного бюджета</w:t>
      </w:r>
      <w:r>
        <w:t xml:space="preserve">, предоставляемая в ходе проведения экспертизы </w:t>
      </w:r>
      <w:r w:rsidR="001C14A2">
        <w:t>П</w:t>
      </w:r>
      <w:r w:rsidR="003617CD">
        <w:t>роект</w:t>
      </w:r>
      <w:r w:rsidR="001C14A2">
        <w:t>а</w:t>
      </w:r>
      <w:r w:rsidR="003617CD">
        <w:t xml:space="preserve"> решения</w:t>
      </w:r>
      <w:r>
        <w:t>.</w:t>
      </w:r>
    </w:p>
    <w:p w:rsidR="00CC6461" w:rsidRDefault="00CC6461" w:rsidP="000215D0">
      <w:pPr>
        <w:spacing w:after="0" w:line="240" w:lineRule="auto"/>
        <w:jc w:val="both"/>
      </w:pPr>
    </w:p>
    <w:p w:rsidR="001365B4" w:rsidRDefault="00775FF7" w:rsidP="00CC6461">
      <w:pPr>
        <w:spacing w:after="0" w:line="240" w:lineRule="auto"/>
        <w:jc w:val="center"/>
        <w:rPr>
          <w:b/>
        </w:rPr>
      </w:pPr>
      <w:r>
        <w:rPr>
          <w:b/>
        </w:rPr>
        <w:t>3</w:t>
      </w:r>
      <w:r w:rsidR="001365B4" w:rsidRPr="00CC6461">
        <w:rPr>
          <w:b/>
        </w:rPr>
        <w:t>.2.</w:t>
      </w:r>
      <w:r w:rsidR="001365B4" w:rsidRPr="00CC6461">
        <w:rPr>
          <w:b/>
        </w:rPr>
        <w:tab/>
        <w:t xml:space="preserve">Методические основы проведения экспертизы </w:t>
      </w:r>
    </w:p>
    <w:p w:rsidR="001C14A2" w:rsidRPr="00CC6461" w:rsidRDefault="001C14A2" w:rsidP="00CC6461">
      <w:pPr>
        <w:spacing w:after="0" w:line="240" w:lineRule="auto"/>
        <w:jc w:val="center"/>
        <w:rPr>
          <w:b/>
        </w:rPr>
      </w:pPr>
    </w:p>
    <w:p w:rsidR="001365B4" w:rsidRDefault="00775FF7" w:rsidP="0023541C">
      <w:pPr>
        <w:spacing w:after="0" w:line="240" w:lineRule="auto"/>
        <w:ind w:firstLine="709"/>
        <w:jc w:val="both"/>
      </w:pPr>
      <w:r>
        <w:t>3</w:t>
      </w:r>
      <w:r w:rsidR="001365B4">
        <w:t>.2.1.</w:t>
      </w:r>
      <w:r w:rsidR="001365B4">
        <w:tab/>
        <w:t xml:space="preserve"> Методической основой осуществления экспертизы являются: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сравнительный анализ соответствия </w:t>
      </w:r>
      <w:r w:rsidR="001C14A2">
        <w:t>П</w:t>
      </w:r>
      <w:r w:rsidR="003617CD">
        <w:t>роект</w:t>
      </w:r>
      <w:r w:rsidR="001C14A2">
        <w:t>а</w:t>
      </w:r>
      <w:r w:rsidR="003617CD">
        <w:t xml:space="preserve"> решения</w:t>
      </w:r>
      <w:r>
        <w:t xml:space="preserve">, документов и материалов, представляемых одновременно с ним в </w:t>
      </w:r>
      <w:r w:rsidR="006E74E5">
        <w:t>Думу</w:t>
      </w:r>
      <w:r>
        <w:t>, действующему законодательству;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lastRenderedPageBreak/>
        <w:t xml:space="preserve">сравнительный анализ соответствия </w:t>
      </w:r>
      <w:r w:rsidR="001C14A2">
        <w:t>П</w:t>
      </w:r>
      <w:r w:rsidR="003617CD">
        <w:t>роект</w:t>
      </w:r>
      <w:r w:rsidR="001C14A2">
        <w:t>а</w:t>
      </w:r>
      <w:r w:rsidR="003617CD">
        <w:t xml:space="preserve"> решения</w:t>
      </w:r>
      <w:r>
        <w:t xml:space="preserve"> положениям ежегодного Бюджетного послания Президента Российской Федерации,</w:t>
      </w:r>
      <w:r w:rsidR="001C14A2">
        <w:t xml:space="preserve"> </w:t>
      </w:r>
      <w:r w:rsidR="001C14A2" w:rsidRPr="001C14A2">
        <w:t>Губе</w:t>
      </w:r>
      <w:r w:rsidR="005374C5">
        <w:t>рнатора Свердловской области и Г</w:t>
      </w:r>
      <w:r w:rsidR="001C14A2" w:rsidRPr="001C14A2">
        <w:t>лавы городского округа</w:t>
      </w:r>
      <w:r>
        <w:t xml:space="preserve"> </w:t>
      </w:r>
      <w:r w:rsidR="005374C5">
        <w:t>Сухой Лог о</w:t>
      </w:r>
      <w:r>
        <w:t>сновным направлениям бюджетной и налоговой политики;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сравнительный анализ соответствия принятых в </w:t>
      </w:r>
      <w:r w:rsidR="001C14A2">
        <w:t>П</w:t>
      </w:r>
      <w:r w:rsidR="003617CD">
        <w:t>роект</w:t>
      </w:r>
      <w:r w:rsidR="00CC6461">
        <w:t>е</w:t>
      </w:r>
      <w:r w:rsidR="003617CD">
        <w:t xml:space="preserve"> решения</w:t>
      </w:r>
      <w:r>
        <w:t xml:space="preserve"> расчетов показателей установленным нормативам;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сравнительный анализ динамики показателей исполнения </w:t>
      </w:r>
      <w:r w:rsidR="007B71A8">
        <w:t>местного бюджета</w:t>
      </w:r>
      <w:r>
        <w:t xml:space="preserve"> за предыдущий год, ожидаемых итогов текущего года, показателей </w:t>
      </w:r>
      <w:r w:rsidR="001C14A2">
        <w:t>П</w:t>
      </w:r>
      <w:r w:rsidR="003617CD">
        <w:t>роект</w:t>
      </w:r>
      <w:r w:rsidR="001C14A2">
        <w:t>а</w:t>
      </w:r>
      <w:r w:rsidR="003617CD">
        <w:t xml:space="preserve"> решения</w:t>
      </w:r>
      <w:r>
        <w:t xml:space="preserve"> в очередном финансовом году и среднесрочной перспективе.</w:t>
      </w:r>
    </w:p>
    <w:p w:rsidR="001365B4" w:rsidRDefault="00775FF7" w:rsidP="0023541C">
      <w:pPr>
        <w:spacing w:after="0" w:line="240" w:lineRule="auto"/>
        <w:ind w:firstLine="709"/>
        <w:jc w:val="both"/>
      </w:pPr>
      <w:r>
        <w:t>3</w:t>
      </w:r>
      <w:r w:rsidR="001365B4">
        <w:t>.2.2.</w:t>
      </w:r>
      <w:r w:rsidR="001365B4">
        <w:tab/>
        <w:t xml:space="preserve"> </w:t>
      </w:r>
      <w:proofErr w:type="gramStart"/>
      <w:r w:rsidR="001365B4">
        <w:t>Методические подходы</w:t>
      </w:r>
      <w:proofErr w:type="gramEnd"/>
      <w:r w:rsidR="001365B4">
        <w:t xml:space="preserve"> к осуществлению экспертизы по основным вопросам состоят в следующем:</w:t>
      </w:r>
    </w:p>
    <w:p w:rsidR="001365B4" w:rsidRDefault="00775FF7" w:rsidP="0023541C">
      <w:pPr>
        <w:spacing w:after="0" w:line="240" w:lineRule="auto"/>
        <w:ind w:firstLine="709"/>
        <w:jc w:val="both"/>
      </w:pPr>
      <w:r>
        <w:t>3</w:t>
      </w:r>
      <w:r w:rsidR="001365B4">
        <w:t>.2.2.1.</w:t>
      </w:r>
      <w:r w:rsidR="001365B4">
        <w:tab/>
        <w:t xml:space="preserve">Анализ доходных статей </w:t>
      </w:r>
      <w:r w:rsidR="005374C5">
        <w:t>П</w:t>
      </w:r>
      <w:r w:rsidR="003617CD">
        <w:t>роект решения</w:t>
      </w:r>
      <w:r w:rsidR="001365B4">
        <w:t xml:space="preserve"> предусматривает:</w:t>
      </w:r>
    </w:p>
    <w:p w:rsidR="001365B4" w:rsidRDefault="001365B4" w:rsidP="00964D79">
      <w:pPr>
        <w:spacing w:after="0" w:line="240" w:lineRule="auto"/>
        <w:jc w:val="both"/>
      </w:pPr>
      <w:proofErr w:type="gramStart"/>
      <w:r>
        <w:t xml:space="preserve">анализ </w:t>
      </w:r>
      <w:r w:rsidR="00CC6461">
        <w:t xml:space="preserve">федеральных, </w:t>
      </w:r>
      <w:r>
        <w:t>областных законов</w:t>
      </w:r>
      <w:r w:rsidR="00CC6461">
        <w:t xml:space="preserve"> и муниципальных нормативно-правовых актов </w:t>
      </w:r>
      <w:r>
        <w:t xml:space="preserve"> о внесении изменений в законодательство о налогах и сборах</w:t>
      </w:r>
      <w:r w:rsidR="005374C5">
        <w:t xml:space="preserve">, </w:t>
      </w:r>
      <w:r>
        <w:t xml:space="preserve">вступающих в силу в очередном финансовом году, </w:t>
      </w:r>
      <w:r w:rsidR="00CC6461">
        <w:t xml:space="preserve">а также  их </w:t>
      </w:r>
      <w:r>
        <w:t xml:space="preserve">проектов, учтенных в расчетах доходной базы </w:t>
      </w:r>
      <w:r w:rsidR="007B71A8">
        <w:t>местного бюджета</w:t>
      </w:r>
      <w:r>
        <w:t>, последствий влияния на доходы бюджетной системы Российской Федерации изменений законодательства о налогах и сборах и нормативов распределения налоговых доходов по уровням бюджетной системы;</w:t>
      </w:r>
      <w:proofErr w:type="gramEnd"/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сопоставление динамики показателей налоговых и иных доходов </w:t>
      </w:r>
      <w:r w:rsidR="000E193B">
        <w:t>П</w:t>
      </w:r>
      <w:r w:rsidR="003617CD">
        <w:t>роект</w:t>
      </w:r>
      <w:r w:rsidR="000E193B">
        <w:t>а</w:t>
      </w:r>
      <w:r w:rsidR="003617CD">
        <w:t xml:space="preserve"> решения</w:t>
      </w:r>
      <w:r>
        <w:t xml:space="preserve">, утвержденных и ожидаемых показателей исполнения доходов </w:t>
      </w:r>
      <w:r w:rsidR="007B71A8">
        <w:t>местного бюджета</w:t>
      </w:r>
      <w:r>
        <w:t xml:space="preserve"> текущего года, фактических доходов </w:t>
      </w:r>
      <w:r w:rsidR="007B71A8">
        <w:t>местного бюджета</w:t>
      </w:r>
      <w:r>
        <w:t xml:space="preserve"> за предыдущий год, а также основных факторов, определяющих их динамику;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факторный анализ изменения динамики и структуры доходов </w:t>
      </w:r>
      <w:r w:rsidR="007B71A8">
        <w:t>местного бюджета</w:t>
      </w:r>
      <w:r>
        <w:t xml:space="preserve"> в разрезе налоговых и неналоговых доходов;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оценку обоснованности расчета налоговых и неналоговых доходов </w:t>
      </w:r>
      <w:r w:rsidR="007B71A8">
        <w:t>местного бюджета</w:t>
      </w:r>
      <w:r>
        <w:t>.</w:t>
      </w:r>
    </w:p>
    <w:p w:rsidR="001365B4" w:rsidRDefault="00775FF7" w:rsidP="0023541C">
      <w:pPr>
        <w:spacing w:after="0" w:line="240" w:lineRule="auto"/>
        <w:ind w:firstLine="709"/>
        <w:jc w:val="both"/>
      </w:pPr>
      <w:r>
        <w:t>3</w:t>
      </w:r>
      <w:r w:rsidR="001365B4">
        <w:t>.2.2.2.</w:t>
      </w:r>
      <w:r w:rsidR="001365B4">
        <w:tab/>
        <w:t xml:space="preserve">Анализ расчетов расходов </w:t>
      </w:r>
      <w:r>
        <w:t>П</w:t>
      </w:r>
      <w:r w:rsidR="003617CD">
        <w:t>роект</w:t>
      </w:r>
      <w:r>
        <w:t>а</w:t>
      </w:r>
      <w:r w:rsidR="003617CD">
        <w:t xml:space="preserve"> решения</w:t>
      </w:r>
      <w:r w:rsidR="001365B4">
        <w:t xml:space="preserve"> должен предусматривать: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>анализ нормативно-правовой базы формирования и применяемых методов индексации и расчетов на очередной финансовый год и плановый период;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сопоставление динамики общего объема расходов, расходов в разрезе разделов и подразделов классификации расходов бюджетов на трехлетний период в абсолютном выражении и объемов расходов, утвержденных </w:t>
      </w:r>
      <w:r w:rsidR="00CC6461">
        <w:t>решением о бюджете</w:t>
      </w:r>
      <w:r>
        <w:t xml:space="preserve"> и ожидаемых за текущий год, фактических расходов </w:t>
      </w:r>
      <w:r w:rsidR="007B71A8">
        <w:t>местного бюджета</w:t>
      </w:r>
      <w:r>
        <w:t xml:space="preserve"> за предыдущий год, анализ увеличения или сокращения утвержденных расходов планового периода;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>анализ бюджетных ассигнований, направляемых на финансирование долгосрочных целевых программ и ведомственных целевых программ;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>анализ бюджетных ассигнований, направляемых на исполнение публичных нормативных обязательств.</w:t>
      </w:r>
    </w:p>
    <w:p w:rsidR="001365B4" w:rsidRDefault="00775FF7" w:rsidP="0023541C">
      <w:pPr>
        <w:spacing w:after="0" w:line="240" w:lineRule="auto"/>
        <w:ind w:firstLine="709"/>
        <w:jc w:val="both"/>
      </w:pPr>
      <w:r>
        <w:lastRenderedPageBreak/>
        <w:t>3</w:t>
      </w:r>
      <w:r w:rsidR="001365B4">
        <w:t>.2.2.</w:t>
      </w:r>
      <w:r w:rsidR="002C117D">
        <w:t>3</w:t>
      </w:r>
      <w:r w:rsidR="001365B4">
        <w:t>.</w:t>
      </w:r>
      <w:r w:rsidR="001365B4">
        <w:tab/>
        <w:t xml:space="preserve">Анализ </w:t>
      </w:r>
      <w:proofErr w:type="gramStart"/>
      <w:r w:rsidR="001365B4">
        <w:t xml:space="preserve">формирования источников финансирования дефицита </w:t>
      </w:r>
      <w:r w:rsidR="007B71A8">
        <w:t>местного бюджета</w:t>
      </w:r>
      <w:proofErr w:type="gramEnd"/>
      <w:r w:rsidR="001365B4">
        <w:t xml:space="preserve"> и предельных размеров </w:t>
      </w:r>
      <w:r w:rsidR="00CC6461">
        <w:t>муниципального</w:t>
      </w:r>
      <w:r w:rsidR="001365B4">
        <w:t xml:space="preserve"> долга в </w:t>
      </w:r>
      <w:r w:rsidR="003617CD">
        <w:t>проект</w:t>
      </w:r>
      <w:r w:rsidR="00CC6461">
        <w:t>е</w:t>
      </w:r>
      <w:r w:rsidR="003617CD">
        <w:t xml:space="preserve"> решения</w:t>
      </w:r>
      <w:r w:rsidR="001365B4">
        <w:t xml:space="preserve"> предусматривает: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сопоставление динамики размера дефицита и источников финансирования дефицита </w:t>
      </w:r>
      <w:r w:rsidR="007B71A8">
        <w:t>местного бюджета</w:t>
      </w:r>
      <w:r>
        <w:t xml:space="preserve">, предусмотренных в проекте </w:t>
      </w:r>
      <w:r w:rsidR="007B71A8">
        <w:t>местного бюджета</w:t>
      </w:r>
      <w:r>
        <w:t>, утвержденных и ожидаемых за текущий год и фактических показателей предыдущего года;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оценку </w:t>
      </w:r>
      <w:proofErr w:type="gramStart"/>
      <w:r>
        <w:t xml:space="preserve">обоснованности формирования источников финансирования дефицита </w:t>
      </w:r>
      <w:r w:rsidR="007B71A8">
        <w:t>местного бюджета</w:t>
      </w:r>
      <w:proofErr w:type="gramEnd"/>
      <w:r>
        <w:t>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оценку соответствия долговой политики объемам </w:t>
      </w:r>
      <w:r w:rsidR="00CC6461">
        <w:t>муниципальных</w:t>
      </w:r>
      <w:r>
        <w:t xml:space="preserve"> заимствований, влияния предлагаемых масштабов и форм заимствований на динамику и условия обслуживания задолженности;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сопоставление динамики средств на погашение </w:t>
      </w:r>
      <w:r w:rsidR="00CC6461">
        <w:t>муниципального</w:t>
      </w:r>
      <w:r>
        <w:t xml:space="preserve"> долга, предусмотренных в проекте </w:t>
      </w:r>
      <w:r w:rsidR="007B71A8">
        <w:t>местного бюджета</w:t>
      </w:r>
      <w:r>
        <w:t xml:space="preserve">, с аналогичными показателями за отчетный финансовый год, утвержденными и ожидаемыми показателями текущего года, а также предельных размеров </w:t>
      </w:r>
      <w:r w:rsidR="00CC6461">
        <w:t>муниципального</w:t>
      </w:r>
      <w:r>
        <w:t xml:space="preserve"> долга на конец года;</w:t>
      </w:r>
    </w:p>
    <w:p w:rsidR="001365B4" w:rsidRDefault="001365B4" w:rsidP="0023541C">
      <w:pPr>
        <w:spacing w:after="0" w:line="240" w:lineRule="auto"/>
        <w:ind w:firstLine="709"/>
        <w:jc w:val="both"/>
      </w:pPr>
      <w:r>
        <w:t xml:space="preserve">оценку обоснованности предельных размеров </w:t>
      </w:r>
      <w:r w:rsidR="00CC6461">
        <w:t>муниципального</w:t>
      </w:r>
      <w:r>
        <w:t xml:space="preserve"> долга, изменения его структуры, расходов на погашение </w:t>
      </w:r>
      <w:r w:rsidR="00CC6461">
        <w:t>муниципального</w:t>
      </w:r>
      <w:r>
        <w:t xml:space="preserve"> долга и новых </w:t>
      </w:r>
      <w:r w:rsidR="00CC6461">
        <w:t>муниципальных</w:t>
      </w:r>
      <w:r>
        <w:t xml:space="preserve"> заимствований в соответствии с долговой политикой.</w:t>
      </w:r>
    </w:p>
    <w:p w:rsidR="0023541C" w:rsidRDefault="0023541C" w:rsidP="0023541C">
      <w:pPr>
        <w:spacing w:after="0" w:line="240" w:lineRule="auto"/>
        <w:ind w:firstLine="709"/>
        <w:jc w:val="both"/>
      </w:pPr>
    </w:p>
    <w:p w:rsidR="0023541C" w:rsidRDefault="00775FF7" w:rsidP="0023541C">
      <w:pPr>
        <w:spacing w:after="0" w:line="240" w:lineRule="auto"/>
        <w:jc w:val="center"/>
        <w:rPr>
          <w:b/>
        </w:rPr>
      </w:pPr>
      <w:r>
        <w:rPr>
          <w:b/>
        </w:rPr>
        <w:t>4</w:t>
      </w:r>
      <w:r w:rsidR="001365B4" w:rsidRPr="0023541C">
        <w:rPr>
          <w:b/>
        </w:rPr>
        <w:t>.</w:t>
      </w:r>
      <w:r w:rsidR="001365B4" w:rsidRPr="0023541C">
        <w:rPr>
          <w:b/>
        </w:rPr>
        <w:tab/>
        <w:t xml:space="preserve">Структура и основные положения содержания </w:t>
      </w:r>
      <w:r w:rsidR="005374C5">
        <w:rPr>
          <w:b/>
        </w:rPr>
        <w:t>З</w:t>
      </w:r>
      <w:r w:rsidR="001365B4" w:rsidRPr="0023541C">
        <w:rPr>
          <w:b/>
        </w:rPr>
        <w:t xml:space="preserve">аключения </w:t>
      </w:r>
    </w:p>
    <w:p w:rsidR="0053736E" w:rsidRPr="0023541C" w:rsidRDefault="0053736E" w:rsidP="0023541C">
      <w:pPr>
        <w:spacing w:after="0" w:line="240" w:lineRule="auto"/>
        <w:jc w:val="center"/>
        <w:rPr>
          <w:b/>
        </w:rPr>
      </w:pPr>
    </w:p>
    <w:p w:rsidR="001365B4" w:rsidRDefault="001365B4" w:rsidP="00A22AFA">
      <w:pPr>
        <w:spacing w:after="0" w:line="240" w:lineRule="auto"/>
        <w:ind w:firstLine="709"/>
        <w:jc w:val="both"/>
      </w:pPr>
      <w:r>
        <w:t xml:space="preserve">Заключение на </w:t>
      </w:r>
      <w:r w:rsidR="0023541C">
        <w:t>П</w:t>
      </w:r>
      <w:r w:rsidR="003617CD">
        <w:t>роект решения</w:t>
      </w:r>
      <w:r>
        <w:t xml:space="preserve"> состоит из шести разделов:</w:t>
      </w:r>
    </w:p>
    <w:p w:rsidR="001365B4" w:rsidRDefault="001365B4" w:rsidP="00A22AFA">
      <w:pPr>
        <w:spacing w:after="0" w:line="240" w:lineRule="auto"/>
        <w:ind w:firstLine="709"/>
        <w:jc w:val="both"/>
      </w:pPr>
      <w:r>
        <w:t>раздел 1 - Общие положения;</w:t>
      </w:r>
    </w:p>
    <w:p w:rsidR="001365B4" w:rsidRDefault="001365B4" w:rsidP="00A22AFA">
      <w:pPr>
        <w:spacing w:after="0" w:line="240" w:lineRule="auto"/>
        <w:ind w:firstLine="709"/>
        <w:jc w:val="both"/>
      </w:pPr>
      <w:r>
        <w:t xml:space="preserve">раздел 2 - Доходы </w:t>
      </w:r>
      <w:r w:rsidR="007B71A8">
        <w:t>местного бюджета</w:t>
      </w:r>
      <w:r>
        <w:t>;</w:t>
      </w:r>
    </w:p>
    <w:p w:rsidR="001365B4" w:rsidRDefault="001365B4" w:rsidP="00A22AFA">
      <w:pPr>
        <w:spacing w:after="0" w:line="240" w:lineRule="auto"/>
        <w:ind w:firstLine="709"/>
        <w:jc w:val="both"/>
      </w:pPr>
      <w:r>
        <w:t xml:space="preserve">раздел 3 - Расходы </w:t>
      </w:r>
      <w:r w:rsidR="007B71A8">
        <w:t>местного бюджета</w:t>
      </w:r>
      <w:r>
        <w:t>;</w:t>
      </w:r>
    </w:p>
    <w:p w:rsidR="001365B4" w:rsidRDefault="001365B4" w:rsidP="00A22AFA">
      <w:pPr>
        <w:spacing w:after="0" w:line="240" w:lineRule="auto"/>
        <w:ind w:firstLine="709"/>
        <w:jc w:val="both"/>
      </w:pPr>
      <w:r>
        <w:t xml:space="preserve">раздел 4 - Дефицит </w:t>
      </w:r>
      <w:r w:rsidR="007B71A8">
        <w:t>местного бюджета</w:t>
      </w:r>
      <w:r>
        <w:t>;</w:t>
      </w:r>
    </w:p>
    <w:p w:rsidR="001365B4" w:rsidRDefault="001365B4" w:rsidP="00A22AFA">
      <w:pPr>
        <w:spacing w:after="0" w:line="240" w:lineRule="auto"/>
        <w:ind w:firstLine="709"/>
        <w:jc w:val="both"/>
      </w:pPr>
      <w:r>
        <w:t xml:space="preserve">раздел 5 - </w:t>
      </w:r>
      <w:r w:rsidR="00CC6461">
        <w:t>Муниципальный</w:t>
      </w:r>
      <w:r>
        <w:t xml:space="preserve"> долг;</w:t>
      </w:r>
    </w:p>
    <w:p w:rsidR="001365B4" w:rsidRDefault="001365B4" w:rsidP="00A22AFA">
      <w:pPr>
        <w:spacing w:after="0" w:line="240" w:lineRule="auto"/>
        <w:ind w:firstLine="709"/>
        <w:jc w:val="both"/>
      </w:pPr>
      <w:r>
        <w:t>раздел 6 - Выводы и предложения.</w:t>
      </w:r>
    </w:p>
    <w:p w:rsidR="0053736E" w:rsidRDefault="0053736E" w:rsidP="00A22AFA">
      <w:pPr>
        <w:spacing w:after="0" w:line="240" w:lineRule="auto"/>
        <w:ind w:firstLine="709"/>
        <w:jc w:val="both"/>
      </w:pPr>
    </w:p>
    <w:p w:rsidR="001365B4" w:rsidRDefault="00A22AFA" w:rsidP="00A22AFA">
      <w:pPr>
        <w:spacing w:after="0" w:line="240" w:lineRule="auto"/>
        <w:ind w:firstLine="709"/>
        <w:jc w:val="both"/>
      </w:pPr>
      <w:r>
        <w:t>З</w:t>
      </w:r>
      <w:r w:rsidR="001365B4">
        <w:t>аключени</w:t>
      </w:r>
      <w:r>
        <w:t>е</w:t>
      </w:r>
      <w:r w:rsidR="001365B4">
        <w:t xml:space="preserve"> по результатам экспертизы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 w:rsidR="001365B4">
        <w:t xml:space="preserve"> должно </w:t>
      </w:r>
      <w:r>
        <w:t>содержит</w:t>
      </w:r>
      <w:r w:rsidR="001365B4">
        <w:t>: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н</w:t>
      </w:r>
      <w:r w:rsidR="001365B4">
        <w:t xml:space="preserve">аименование </w:t>
      </w:r>
      <w:r w:rsidR="005374C5">
        <w:t>П</w:t>
      </w:r>
      <w:r w:rsidR="003617CD">
        <w:t>роект</w:t>
      </w:r>
      <w:r w:rsidR="00660F89">
        <w:t>а</w:t>
      </w:r>
      <w:r w:rsidR="003617CD">
        <w:t xml:space="preserve"> решения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с</w:t>
      </w:r>
      <w:r w:rsidR="001365B4">
        <w:t xml:space="preserve">роки и основания рассмотрения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 w:rsidR="001365B4">
        <w:t xml:space="preserve"> </w:t>
      </w:r>
      <w:proofErr w:type="spellStart"/>
      <w:r w:rsidR="005374C5">
        <w:t>СЧП</w:t>
      </w:r>
      <w:proofErr w:type="spellEnd"/>
      <w:r w:rsidR="005374C5">
        <w:t>,</w:t>
      </w:r>
      <w:r w:rsidR="001365B4">
        <w:t xml:space="preserve"> документы и материалы, используемые при подготовке </w:t>
      </w:r>
      <w:r w:rsidR="005374C5">
        <w:t>З</w:t>
      </w:r>
      <w:r w:rsidR="001365B4">
        <w:t>аключения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р</w:t>
      </w:r>
      <w:r w:rsidR="001365B4">
        <w:t xml:space="preserve">езультаты анализа нормативной правовой базы и вопросов, касающихся предмета регулирования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а</w:t>
      </w:r>
      <w:r w:rsidR="001365B4">
        <w:t xml:space="preserve">нализ основных тенденций формирования </w:t>
      </w:r>
      <w:r w:rsidR="007B71A8">
        <w:t>местного бюджета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а</w:t>
      </w:r>
      <w:r w:rsidR="001365B4">
        <w:t xml:space="preserve">нализ соответствия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 w:rsidR="001365B4">
        <w:t xml:space="preserve"> общим задачам бюджетной политики, сформулированным в Бюджетном послании Президента Российской Федерации</w:t>
      </w:r>
      <w:r>
        <w:t xml:space="preserve">, губернатора Свердловской области, </w:t>
      </w:r>
      <w:r w:rsidR="005374C5">
        <w:t>Г</w:t>
      </w:r>
      <w:r>
        <w:t xml:space="preserve">лавы </w:t>
      </w:r>
      <w:r w:rsidR="005374C5">
        <w:t>городского округа Сухой Лог</w:t>
      </w:r>
      <w:r w:rsidR="001365B4">
        <w:t xml:space="preserve"> и иных программных документах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о</w:t>
      </w:r>
      <w:r w:rsidR="001365B4">
        <w:t xml:space="preserve">ценка соответствия положений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 w:rsidR="001365B4">
        <w:t xml:space="preserve"> </w:t>
      </w:r>
      <w:r w:rsidR="005374C5">
        <w:t xml:space="preserve">БК РФ </w:t>
      </w:r>
      <w:r w:rsidR="001365B4">
        <w:t>и иному действующему законодательству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lastRenderedPageBreak/>
        <w:t>о</w:t>
      </w:r>
      <w:r w:rsidR="001365B4">
        <w:t xml:space="preserve">ценка доходных статей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 w:rsidR="001365B4">
        <w:t xml:space="preserve">, включая анализ текстовых статей, регламентирующих порядок формирования отдельных доходных источников </w:t>
      </w:r>
      <w:r w:rsidR="007B71A8">
        <w:t>местного бюджета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о</w:t>
      </w:r>
      <w:r w:rsidR="001365B4">
        <w:t xml:space="preserve">ценка расходов </w:t>
      </w:r>
      <w:r w:rsidR="0023541C">
        <w:t>П</w:t>
      </w:r>
      <w:r w:rsidR="003617CD">
        <w:t>роект</w:t>
      </w:r>
      <w:r w:rsidR="0023541C">
        <w:t>а</w:t>
      </w:r>
      <w:r w:rsidR="003617CD">
        <w:t xml:space="preserve"> решения</w:t>
      </w:r>
      <w:r w:rsidR="001365B4">
        <w:t>, включая анализ текстовых статей, регулирующих особенности использования бюджетных ассигнований, направляемых на исполнение расходных обязательств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о</w:t>
      </w:r>
      <w:r w:rsidR="001365B4">
        <w:t xml:space="preserve">ценка </w:t>
      </w:r>
      <w:proofErr w:type="gramStart"/>
      <w:r w:rsidR="001365B4">
        <w:t xml:space="preserve">формирования источников финансирования дефицита </w:t>
      </w:r>
      <w:r w:rsidR="007B71A8">
        <w:t>местного бюджета</w:t>
      </w:r>
      <w:proofErr w:type="gramEnd"/>
      <w:r w:rsidR="001365B4">
        <w:t xml:space="preserve"> и динамики </w:t>
      </w:r>
      <w:r w:rsidR="0023541C">
        <w:t>муниципаль</w:t>
      </w:r>
      <w:r w:rsidR="001365B4">
        <w:t>ного долга</w:t>
      </w:r>
      <w:r>
        <w:t>;</w:t>
      </w:r>
    </w:p>
    <w:p w:rsidR="001365B4" w:rsidRDefault="00A22AFA" w:rsidP="00A22AFA">
      <w:pPr>
        <w:spacing w:after="0" w:line="240" w:lineRule="auto"/>
        <w:ind w:firstLine="709"/>
        <w:jc w:val="both"/>
      </w:pPr>
      <w:r>
        <w:t>в</w:t>
      </w:r>
      <w:r w:rsidR="001365B4">
        <w:t xml:space="preserve">ыводы и предложения по </w:t>
      </w:r>
      <w:r w:rsidR="00D13E95">
        <w:t>П</w:t>
      </w:r>
      <w:r w:rsidR="003617CD">
        <w:t>роект</w:t>
      </w:r>
      <w:r w:rsidR="00CC6461">
        <w:t>у</w:t>
      </w:r>
      <w:r w:rsidR="003617CD">
        <w:t xml:space="preserve"> решения</w:t>
      </w:r>
      <w:r w:rsidR="001365B4">
        <w:t xml:space="preserve"> и его отдельным частям (статьям, пунктам, подпунктам).</w:t>
      </w:r>
    </w:p>
    <w:p w:rsidR="007E5BF3" w:rsidRDefault="007E5BF3" w:rsidP="000215D0">
      <w:pPr>
        <w:spacing w:after="0" w:line="240" w:lineRule="auto"/>
        <w:jc w:val="both"/>
      </w:pPr>
    </w:p>
    <w:p w:rsidR="001365B4" w:rsidRDefault="00775FF7" w:rsidP="007E5BF3">
      <w:pPr>
        <w:spacing w:after="0" w:line="240" w:lineRule="auto"/>
        <w:jc w:val="center"/>
        <w:rPr>
          <w:b/>
        </w:rPr>
      </w:pPr>
      <w:r>
        <w:rPr>
          <w:b/>
        </w:rPr>
        <w:t>5</w:t>
      </w:r>
      <w:r w:rsidR="001365B4" w:rsidRPr="007E5BF3">
        <w:rPr>
          <w:b/>
        </w:rPr>
        <w:t>.</w:t>
      </w:r>
      <w:r w:rsidR="001365B4" w:rsidRPr="007E5BF3">
        <w:rPr>
          <w:b/>
        </w:rPr>
        <w:tab/>
        <w:t xml:space="preserve">Порядок взаимодействия между </w:t>
      </w:r>
      <w:r w:rsidR="007E5BF3" w:rsidRPr="007E5BF3">
        <w:rPr>
          <w:b/>
        </w:rPr>
        <w:t xml:space="preserve">должностными лицами </w:t>
      </w:r>
      <w:r w:rsidR="00D13E95">
        <w:rPr>
          <w:b/>
        </w:rPr>
        <w:t xml:space="preserve">Счетной палаты городского округа Сухой Лог </w:t>
      </w:r>
      <w:r w:rsidR="001365B4" w:rsidRPr="007E5BF3">
        <w:rPr>
          <w:b/>
        </w:rPr>
        <w:t xml:space="preserve">в ходе проведения экспертизы </w:t>
      </w:r>
      <w:r w:rsidR="007E5BF3" w:rsidRPr="007E5BF3">
        <w:rPr>
          <w:b/>
        </w:rPr>
        <w:t>П</w:t>
      </w:r>
      <w:r w:rsidR="003617CD" w:rsidRPr="007E5BF3">
        <w:rPr>
          <w:b/>
        </w:rPr>
        <w:t xml:space="preserve">роекта решения о </w:t>
      </w:r>
      <w:r w:rsidR="00D13E95">
        <w:rPr>
          <w:b/>
        </w:rPr>
        <w:t xml:space="preserve">бюджете городского округа Сухой Лог </w:t>
      </w:r>
      <w:r w:rsidR="007E5BF3" w:rsidRPr="007E5BF3">
        <w:rPr>
          <w:b/>
        </w:rPr>
        <w:t xml:space="preserve">и подготовки </w:t>
      </w:r>
      <w:r w:rsidR="00D13E95">
        <w:rPr>
          <w:b/>
        </w:rPr>
        <w:t>З</w:t>
      </w:r>
      <w:r w:rsidR="007E5BF3" w:rsidRPr="007E5BF3">
        <w:rPr>
          <w:b/>
        </w:rPr>
        <w:t>аключения</w:t>
      </w:r>
    </w:p>
    <w:p w:rsidR="007E5BF3" w:rsidRPr="007E5BF3" w:rsidRDefault="007E5BF3" w:rsidP="007E5BF3">
      <w:pPr>
        <w:spacing w:after="0" w:line="240" w:lineRule="auto"/>
        <w:jc w:val="center"/>
        <w:rPr>
          <w:b/>
        </w:rPr>
      </w:pPr>
    </w:p>
    <w:p w:rsidR="001365B4" w:rsidRDefault="00620DD5" w:rsidP="00620DD5">
      <w:pPr>
        <w:spacing w:after="0" w:line="240" w:lineRule="auto"/>
        <w:ind w:firstLine="709"/>
        <w:jc w:val="both"/>
      </w:pPr>
      <w:r>
        <w:t>5</w:t>
      </w:r>
      <w:r w:rsidR="001365B4">
        <w:t>.</w:t>
      </w:r>
      <w:r w:rsidR="007E5BF3">
        <w:t>1</w:t>
      </w:r>
      <w:r w:rsidR="001365B4">
        <w:t>.</w:t>
      </w:r>
      <w:r w:rsidR="001365B4">
        <w:tab/>
        <w:t xml:space="preserve"> </w:t>
      </w:r>
      <w:r w:rsidR="007E5BF3">
        <w:t xml:space="preserve">В течение одного рабочего дня </w:t>
      </w:r>
      <w:r w:rsidR="001365B4">
        <w:t>Председател</w:t>
      </w:r>
      <w:r w:rsidR="007E5BF3">
        <w:t>ь</w:t>
      </w:r>
      <w:r w:rsidR="001365B4">
        <w:t xml:space="preserve"> </w:t>
      </w:r>
      <w:r w:rsidR="007E5BF3">
        <w:t>издает распоряжение</w:t>
      </w:r>
      <w:r w:rsidR="001365B4">
        <w:t>, которым определяются порядок и сроки подготовки заключения.</w:t>
      </w:r>
    </w:p>
    <w:p w:rsidR="001365B4" w:rsidRDefault="00620DD5" w:rsidP="00620DD5">
      <w:pPr>
        <w:spacing w:after="0" w:line="240" w:lineRule="auto"/>
        <w:ind w:firstLine="709"/>
        <w:jc w:val="both"/>
      </w:pPr>
      <w:r>
        <w:t>5</w:t>
      </w:r>
      <w:r w:rsidR="001365B4">
        <w:t>.</w:t>
      </w:r>
      <w:r w:rsidR="002C117D">
        <w:t>2</w:t>
      </w:r>
      <w:r w:rsidR="001365B4">
        <w:t>.</w:t>
      </w:r>
      <w:r w:rsidR="001365B4">
        <w:tab/>
        <w:t xml:space="preserve"> В соответствии с распоряжением Председателя</w:t>
      </w:r>
      <w:r w:rsidR="007E5BF3">
        <w:t xml:space="preserve"> </w:t>
      </w:r>
      <w:r w:rsidR="00FA6520">
        <w:t>инспектор</w:t>
      </w:r>
      <w:r w:rsidR="007E5BF3">
        <w:t xml:space="preserve"> (</w:t>
      </w:r>
      <w:r w:rsidR="00FA6520">
        <w:t>инспекторы</w:t>
      </w:r>
      <w:r w:rsidR="007E5BF3">
        <w:t xml:space="preserve">) </w:t>
      </w:r>
      <w:r w:rsidR="002C117D">
        <w:t xml:space="preserve">в течение семи рабочих дней </w:t>
      </w:r>
      <w:r w:rsidR="00FA6520" w:rsidRPr="00FA6520">
        <w:t>провод</w:t>
      </w:r>
      <w:r w:rsidR="00854CC1">
        <w:t>и</w:t>
      </w:r>
      <w:r w:rsidR="00FA6520" w:rsidRPr="00FA6520">
        <w:t xml:space="preserve">т экспертизу </w:t>
      </w:r>
      <w:r w:rsidR="00BD37AD">
        <w:t>П</w:t>
      </w:r>
      <w:r w:rsidR="00FA6520" w:rsidRPr="00FA6520">
        <w:t>роект</w:t>
      </w:r>
      <w:r w:rsidR="00BD37AD">
        <w:t>а</w:t>
      </w:r>
      <w:r w:rsidR="00FA6520" w:rsidRPr="00FA6520">
        <w:t xml:space="preserve"> решения, результаты которой в виде предложений с приложением таблиц (в случае необходимости) направляются </w:t>
      </w:r>
      <w:r w:rsidR="00FA6520">
        <w:t>Председателю</w:t>
      </w:r>
      <w:r w:rsidR="00A22AFA">
        <w:t xml:space="preserve">. Председатель в течение трех рабочих дней </w:t>
      </w:r>
      <w:r w:rsidR="00FA6520" w:rsidRPr="00FA6520">
        <w:t>обобщ</w:t>
      </w:r>
      <w:r w:rsidR="00A22AFA">
        <w:t>ает представленные предложения</w:t>
      </w:r>
      <w:r w:rsidR="00BD37AD">
        <w:t>,</w:t>
      </w:r>
      <w:r w:rsidR="00FA6520" w:rsidRPr="00FA6520">
        <w:t xml:space="preserve"> </w:t>
      </w:r>
      <w:r w:rsidR="00A22AFA">
        <w:t>формирует и</w:t>
      </w:r>
      <w:r w:rsidR="00BD37AD">
        <w:t xml:space="preserve"> подпис</w:t>
      </w:r>
      <w:r w:rsidR="00A22AFA">
        <w:t>ывает заключение</w:t>
      </w:r>
      <w:r>
        <w:t>, и направляет его с сопроводительным письмом в адрес Думы</w:t>
      </w:r>
      <w:r w:rsidR="008B1606">
        <w:t xml:space="preserve"> и Главы городского округа</w:t>
      </w:r>
      <w:r w:rsidR="002C117D">
        <w:t>.</w:t>
      </w:r>
    </w:p>
    <w:p w:rsidR="007F1FD5" w:rsidRDefault="007F1FD5" w:rsidP="00620DD5">
      <w:pPr>
        <w:spacing w:after="0" w:line="240" w:lineRule="auto"/>
        <w:ind w:firstLine="709"/>
        <w:jc w:val="both"/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1FD5" w:rsidRPr="007F1FD5" w:rsidRDefault="007F1FD5" w:rsidP="007F1FD5">
      <w:pPr>
        <w:tabs>
          <w:tab w:val="left" w:pos="567"/>
        </w:tabs>
        <w:spacing w:after="0" w:line="360" w:lineRule="auto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</w:p>
    <w:sectPr w:rsidR="007F1FD5" w:rsidRPr="007F1FD5" w:rsidSect="008B1606">
      <w:headerReference w:type="default" r:id="rId8"/>
      <w:pgSz w:w="11906" w:h="16838"/>
      <w:pgMar w:top="1418" w:right="851" w:bottom="851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07A" w:rsidRDefault="0055507A" w:rsidP="0009397B">
      <w:pPr>
        <w:spacing w:after="0" w:line="240" w:lineRule="auto"/>
      </w:pPr>
      <w:r>
        <w:separator/>
      </w:r>
    </w:p>
  </w:endnote>
  <w:endnote w:type="continuationSeparator" w:id="0">
    <w:p w:rsidR="0055507A" w:rsidRDefault="0055507A" w:rsidP="00093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07A" w:rsidRDefault="0055507A" w:rsidP="0009397B">
      <w:pPr>
        <w:spacing w:after="0" w:line="240" w:lineRule="auto"/>
      </w:pPr>
      <w:r>
        <w:separator/>
      </w:r>
    </w:p>
  </w:footnote>
  <w:footnote w:type="continuationSeparator" w:id="0">
    <w:p w:rsidR="0055507A" w:rsidRDefault="0055507A" w:rsidP="00093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5586126"/>
      <w:docPartObj>
        <w:docPartGallery w:val="Page Numbers (Top of Page)"/>
        <w:docPartUnique/>
      </w:docPartObj>
    </w:sdtPr>
    <w:sdtEndPr/>
    <w:sdtContent>
      <w:p w:rsidR="0009397B" w:rsidRDefault="0009397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38B">
          <w:rPr>
            <w:noProof/>
          </w:rPr>
          <w:t>2</w:t>
        </w:r>
        <w:r>
          <w:fldChar w:fldCharType="end"/>
        </w:r>
      </w:p>
    </w:sdtContent>
  </w:sdt>
  <w:p w:rsidR="0009397B" w:rsidRDefault="0009397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E2430"/>
    <w:multiLevelType w:val="multilevel"/>
    <w:tmpl w:val="691CDDA6"/>
    <w:lvl w:ilvl="0">
      <w:start w:val="1"/>
      <w:numFmt w:val="decimal"/>
      <w:pStyle w:val="2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5B4"/>
    <w:rsid w:val="000215D0"/>
    <w:rsid w:val="00080D36"/>
    <w:rsid w:val="0009397B"/>
    <w:rsid w:val="000B6A98"/>
    <w:rsid w:val="000C438B"/>
    <w:rsid w:val="000C6633"/>
    <w:rsid w:val="000E193B"/>
    <w:rsid w:val="000E6EF8"/>
    <w:rsid w:val="000F7023"/>
    <w:rsid w:val="001365B4"/>
    <w:rsid w:val="001A0BBC"/>
    <w:rsid w:val="001C14A2"/>
    <w:rsid w:val="001E5530"/>
    <w:rsid w:val="001F1E62"/>
    <w:rsid w:val="00214775"/>
    <w:rsid w:val="00216D66"/>
    <w:rsid w:val="0023541C"/>
    <w:rsid w:val="00291397"/>
    <w:rsid w:val="002C117D"/>
    <w:rsid w:val="002D5D00"/>
    <w:rsid w:val="002F1058"/>
    <w:rsid w:val="002F682F"/>
    <w:rsid w:val="003617CD"/>
    <w:rsid w:val="00383457"/>
    <w:rsid w:val="00394667"/>
    <w:rsid w:val="003A283E"/>
    <w:rsid w:val="003E7A53"/>
    <w:rsid w:val="00412B3E"/>
    <w:rsid w:val="00416D10"/>
    <w:rsid w:val="00422B5D"/>
    <w:rsid w:val="004263BB"/>
    <w:rsid w:val="00436647"/>
    <w:rsid w:val="00452E17"/>
    <w:rsid w:val="004540AB"/>
    <w:rsid w:val="00464847"/>
    <w:rsid w:val="004657E9"/>
    <w:rsid w:val="00472878"/>
    <w:rsid w:val="004C068B"/>
    <w:rsid w:val="004C6159"/>
    <w:rsid w:val="004D2641"/>
    <w:rsid w:val="004F5E16"/>
    <w:rsid w:val="00505780"/>
    <w:rsid w:val="005309A1"/>
    <w:rsid w:val="005341CB"/>
    <w:rsid w:val="0053736E"/>
    <w:rsid w:val="005374C5"/>
    <w:rsid w:val="0055507A"/>
    <w:rsid w:val="005750AB"/>
    <w:rsid w:val="00580D46"/>
    <w:rsid w:val="005B6FE5"/>
    <w:rsid w:val="005C3A68"/>
    <w:rsid w:val="005E1CC7"/>
    <w:rsid w:val="005E7BFC"/>
    <w:rsid w:val="0061793F"/>
    <w:rsid w:val="00620DD5"/>
    <w:rsid w:val="00630924"/>
    <w:rsid w:val="00634DEB"/>
    <w:rsid w:val="00646BB6"/>
    <w:rsid w:val="00660F89"/>
    <w:rsid w:val="006854C4"/>
    <w:rsid w:val="006A63B8"/>
    <w:rsid w:val="006A65C3"/>
    <w:rsid w:val="006B44D6"/>
    <w:rsid w:val="006E74E5"/>
    <w:rsid w:val="006F65F0"/>
    <w:rsid w:val="00735384"/>
    <w:rsid w:val="0073613F"/>
    <w:rsid w:val="00775FF7"/>
    <w:rsid w:val="007958B6"/>
    <w:rsid w:val="007A49B3"/>
    <w:rsid w:val="007B71A8"/>
    <w:rsid w:val="007E1966"/>
    <w:rsid w:val="007E5BF3"/>
    <w:rsid w:val="007F1FD5"/>
    <w:rsid w:val="007F4820"/>
    <w:rsid w:val="00830496"/>
    <w:rsid w:val="008362E9"/>
    <w:rsid w:val="00854CC1"/>
    <w:rsid w:val="008649FF"/>
    <w:rsid w:val="00867808"/>
    <w:rsid w:val="00885F50"/>
    <w:rsid w:val="00892EDC"/>
    <w:rsid w:val="008B1606"/>
    <w:rsid w:val="008B2430"/>
    <w:rsid w:val="008B5E8C"/>
    <w:rsid w:val="008F4211"/>
    <w:rsid w:val="00920B90"/>
    <w:rsid w:val="00922E00"/>
    <w:rsid w:val="00942635"/>
    <w:rsid w:val="0094375E"/>
    <w:rsid w:val="00955B0B"/>
    <w:rsid w:val="00957617"/>
    <w:rsid w:val="00964D79"/>
    <w:rsid w:val="00981E83"/>
    <w:rsid w:val="009A6F26"/>
    <w:rsid w:val="009B5DA3"/>
    <w:rsid w:val="009E439B"/>
    <w:rsid w:val="00A10441"/>
    <w:rsid w:val="00A22AFA"/>
    <w:rsid w:val="00A44781"/>
    <w:rsid w:val="00A80924"/>
    <w:rsid w:val="00A80EDE"/>
    <w:rsid w:val="00A810FB"/>
    <w:rsid w:val="00A82E4E"/>
    <w:rsid w:val="00AA5F3C"/>
    <w:rsid w:val="00AA7D7B"/>
    <w:rsid w:val="00AE767E"/>
    <w:rsid w:val="00AF29E1"/>
    <w:rsid w:val="00B04B58"/>
    <w:rsid w:val="00B15130"/>
    <w:rsid w:val="00B26FFC"/>
    <w:rsid w:val="00B616A4"/>
    <w:rsid w:val="00B75FB2"/>
    <w:rsid w:val="00BA2525"/>
    <w:rsid w:val="00BB6267"/>
    <w:rsid w:val="00BD37AD"/>
    <w:rsid w:val="00C268A3"/>
    <w:rsid w:val="00C36A30"/>
    <w:rsid w:val="00C64451"/>
    <w:rsid w:val="00C721FD"/>
    <w:rsid w:val="00C74088"/>
    <w:rsid w:val="00C80191"/>
    <w:rsid w:val="00C82490"/>
    <w:rsid w:val="00CA4742"/>
    <w:rsid w:val="00CB3D3F"/>
    <w:rsid w:val="00CB573A"/>
    <w:rsid w:val="00CC425D"/>
    <w:rsid w:val="00CC6461"/>
    <w:rsid w:val="00CD501D"/>
    <w:rsid w:val="00CF5153"/>
    <w:rsid w:val="00D13E95"/>
    <w:rsid w:val="00D302A4"/>
    <w:rsid w:val="00D67F3D"/>
    <w:rsid w:val="00DA6834"/>
    <w:rsid w:val="00DB53CC"/>
    <w:rsid w:val="00DB6A0E"/>
    <w:rsid w:val="00DB779D"/>
    <w:rsid w:val="00DD2351"/>
    <w:rsid w:val="00DD2A62"/>
    <w:rsid w:val="00DE34FF"/>
    <w:rsid w:val="00DE7F35"/>
    <w:rsid w:val="00E02548"/>
    <w:rsid w:val="00E12C00"/>
    <w:rsid w:val="00E548C8"/>
    <w:rsid w:val="00E836E7"/>
    <w:rsid w:val="00E85D91"/>
    <w:rsid w:val="00EA2DAA"/>
    <w:rsid w:val="00EA79B5"/>
    <w:rsid w:val="00EB10BF"/>
    <w:rsid w:val="00EB634A"/>
    <w:rsid w:val="00F22B97"/>
    <w:rsid w:val="00F27F4E"/>
    <w:rsid w:val="00F32503"/>
    <w:rsid w:val="00F6601D"/>
    <w:rsid w:val="00F7124F"/>
    <w:rsid w:val="00FA1798"/>
    <w:rsid w:val="00FA1BCE"/>
    <w:rsid w:val="00FA6520"/>
    <w:rsid w:val="00FB3FF2"/>
    <w:rsid w:val="00FC129A"/>
    <w:rsid w:val="00FC4F71"/>
    <w:rsid w:val="00FD08B5"/>
    <w:rsid w:val="00FE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04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04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04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04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04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939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39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09397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8B1606"/>
    <w:pPr>
      <w:numPr>
        <w:numId w:val="1"/>
      </w:numPr>
      <w:spacing w:after="0"/>
      <w:ind w:left="284" w:hanging="284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B1606"/>
    <w:pPr>
      <w:spacing w:after="0"/>
      <w:ind w:left="284" w:hanging="284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397B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09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397B"/>
  </w:style>
  <w:style w:type="paragraph" w:styleId="ae">
    <w:name w:val="footer"/>
    <w:basedOn w:val="a"/>
    <w:link w:val="af"/>
    <w:uiPriority w:val="99"/>
    <w:unhideWhenUsed/>
    <w:rsid w:val="0009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397B"/>
  </w:style>
  <w:style w:type="character" w:styleId="af0">
    <w:name w:val="page number"/>
    <w:basedOn w:val="a0"/>
    <w:rsid w:val="007F1F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39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3049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3049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3049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3049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3049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0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0496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9397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9397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09397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qFormat/>
    <w:rsid w:val="008B1606"/>
    <w:pPr>
      <w:numPr>
        <w:numId w:val="1"/>
      </w:numPr>
      <w:spacing w:after="0"/>
      <w:ind w:left="284" w:hanging="284"/>
    </w:pPr>
    <w:rPr>
      <w:rFonts w:asciiTheme="minorHAnsi" w:eastAsiaTheme="minorEastAsia" w:hAnsiTheme="minorHAnsi"/>
      <w:sz w:val="22"/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8B1606"/>
    <w:pPr>
      <w:spacing w:after="0"/>
      <w:ind w:left="284" w:hanging="284"/>
    </w:pPr>
    <w:rPr>
      <w:rFonts w:asciiTheme="minorHAnsi" w:eastAsiaTheme="minorEastAsia" w:hAnsiTheme="minorHAnsi"/>
      <w:sz w:val="22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09397B"/>
    <w:pPr>
      <w:spacing w:after="100"/>
      <w:ind w:left="440"/>
    </w:pPr>
    <w:rPr>
      <w:rFonts w:asciiTheme="minorHAnsi" w:eastAsiaTheme="minorEastAsia" w:hAnsiTheme="minorHAnsi"/>
      <w:sz w:val="22"/>
      <w:lang w:eastAsia="ru-RU"/>
    </w:rPr>
  </w:style>
  <w:style w:type="paragraph" w:styleId="ac">
    <w:name w:val="header"/>
    <w:basedOn w:val="a"/>
    <w:link w:val="ad"/>
    <w:uiPriority w:val="99"/>
    <w:unhideWhenUsed/>
    <w:rsid w:val="0009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9397B"/>
  </w:style>
  <w:style w:type="paragraph" w:styleId="ae">
    <w:name w:val="footer"/>
    <w:basedOn w:val="a"/>
    <w:link w:val="af"/>
    <w:uiPriority w:val="99"/>
    <w:unhideWhenUsed/>
    <w:rsid w:val="00093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9397B"/>
  </w:style>
  <w:style w:type="character" w:styleId="af0">
    <w:name w:val="page number"/>
    <w:basedOn w:val="a0"/>
    <w:rsid w:val="007F1F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9</Pages>
  <Words>2337</Words>
  <Characters>13326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</dc:creator>
  <cp:lastModifiedBy>User</cp:lastModifiedBy>
  <cp:revision>21</cp:revision>
  <cp:lastPrinted>2013-12-08T04:04:00Z</cp:lastPrinted>
  <dcterms:created xsi:type="dcterms:W3CDTF">2013-11-19T06:10:00Z</dcterms:created>
  <dcterms:modified xsi:type="dcterms:W3CDTF">2019-03-26T03:03:00Z</dcterms:modified>
</cp:coreProperties>
</file>